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A0506FC" w14:textId="77777777" w:rsidR="003346FE" w:rsidRDefault="006072F2">
      <w:pPr>
        <w:adjustRightInd w:val="0"/>
        <w:spacing w:before="163" w:after="163"/>
        <w:ind w:firstLine="1600"/>
        <w:jc w:val="center"/>
        <w:rPr>
          <w:rFonts w:ascii="Times New Roman" w:eastAsia="宋体" w:hAnsi="Times New Roman" w:cs="Times New Roman"/>
          <w:color w:val="106D9C" w:themeColor="accent1"/>
          <w:sz w:val="80"/>
          <w:szCs w:val="80"/>
          <w:lang w:eastAsia="zh-CN"/>
        </w:rPr>
      </w:pPr>
      <w:r>
        <w:rPr>
          <w:rFonts w:ascii="Times New Roman" w:eastAsia="宋体" w:hAnsi="Times New Roman" w:cs="Times New Roman"/>
          <w:noProof/>
          <w:color w:val="106D9C" w:themeColor="accent1"/>
          <w:sz w:val="80"/>
          <w:szCs w:val="80"/>
          <w:lang w:eastAsia="zh-CN" w:bidi="ar-SA"/>
        </w:rPr>
        <w:drawing>
          <wp:anchor distT="0" distB="0" distL="114300" distR="114300" simplePos="0" relativeHeight="251663360" behindDoc="1" locked="0" layoutInCell="1" allowOverlap="1" wp14:anchorId="29A60AEE" wp14:editId="61FE0601">
            <wp:simplePos x="0" y="0"/>
            <wp:positionH relativeFrom="column">
              <wp:posOffset>-1149350</wp:posOffset>
            </wp:positionH>
            <wp:positionV relativeFrom="paragraph">
              <wp:posOffset>-989965</wp:posOffset>
            </wp:positionV>
            <wp:extent cx="7614920" cy="10810875"/>
            <wp:effectExtent l="0" t="0" r="5080" b="9525"/>
            <wp:wrapNone/>
            <wp:docPr id="2" name="图片 1" descr="C:\Users\Administrator\Desktop\微信图片_20211021142051.jpg微信图片_2021102114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Desktop\微信图片_20211021142051.jpg微信图片_2021102114205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492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color w:val="106D9C" w:themeColor="accent1"/>
          <w:sz w:val="80"/>
          <w:szCs w:val="80"/>
          <w:lang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394162" wp14:editId="548E3174">
                <wp:simplePos x="0" y="0"/>
                <wp:positionH relativeFrom="column">
                  <wp:posOffset>3785235</wp:posOffset>
                </wp:positionH>
                <wp:positionV relativeFrom="paragraph">
                  <wp:posOffset>-279400</wp:posOffset>
                </wp:positionV>
                <wp:extent cx="2614930" cy="713740"/>
                <wp:effectExtent l="0" t="0" r="0" b="0"/>
                <wp:wrapNone/>
                <wp:docPr id="1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084" cy="713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3513A2" w14:textId="77777777" w:rsidR="003346FE" w:rsidRDefault="006072F2">
                            <w:pPr>
                              <w:spacing w:beforeLines="45" w:before="146" w:after="163" w:line="180" w:lineRule="auto"/>
                              <w:ind w:rightChars="71" w:right="170" w:firstLineChars="58" w:firstLine="198"/>
                              <w:jc w:val="right"/>
                              <w:rPr>
                                <w:rFonts w:ascii="黑体" w:eastAsia="黑体" w:hAnsi="黑体"/>
                                <w:color w:val="FFFFFF" w:themeColor="background1"/>
                                <w:sz w:val="32"/>
                                <w:lang w:eastAsia="zh-CN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color w:val="FFFFFF"/>
                                <w:spacing w:val="10"/>
                                <w:position w:val="6"/>
                                <w:sz w:val="32"/>
                                <w:szCs w:val="21"/>
                                <w:lang w:eastAsia="zh-CN"/>
                              </w:rPr>
                              <w:t>20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color w:val="FFFFFF"/>
                                <w:spacing w:val="10"/>
                                <w:position w:val="6"/>
                                <w:sz w:val="32"/>
                                <w:szCs w:val="21"/>
                                <w:lang w:eastAsia="zh-CN"/>
                              </w:rPr>
                              <w:t>2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color w:val="FFFFFF"/>
                                <w:spacing w:val="10"/>
                                <w:position w:val="6"/>
                                <w:sz w:val="32"/>
                                <w:szCs w:val="21"/>
                                <w:lang w:eastAsia="zh-CN"/>
                              </w:rPr>
                              <w:t>5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color w:val="FFFFFF"/>
                                <w:spacing w:val="10"/>
                                <w:position w:val="6"/>
                                <w:sz w:val="32"/>
                                <w:szCs w:val="21"/>
                                <w:lang w:eastAsia="zh-CN"/>
                              </w:rPr>
                              <w:t>年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color w:val="FFFFFF"/>
                                <w:spacing w:val="10"/>
                                <w:position w:val="6"/>
                                <w:sz w:val="32"/>
                                <w:szCs w:val="21"/>
                                <w:lang w:eastAsia="zh-CN"/>
                              </w:rPr>
                              <w:t>4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color w:val="FFFFFF"/>
                                <w:spacing w:val="10"/>
                                <w:position w:val="6"/>
                                <w:sz w:val="32"/>
                                <w:szCs w:val="21"/>
                                <w:lang w:eastAsia="zh-CN"/>
                              </w:rPr>
                              <w:t>月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color w:val="FFFFFF"/>
                                <w:spacing w:val="10"/>
                                <w:position w:val="6"/>
                                <w:sz w:val="32"/>
                                <w:szCs w:val="21"/>
                                <w:lang w:eastAsia="zh-CN"/>
                              </w:rPr>
                              <w:t>21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color w:val="FFFFFF"/>
                                <w:spacing w:val="10"/>
                                <w:position w:val="6"/>
                                <w:sz w:val="32"/>
                                <w:szCs w:val="21"/>
                                <w:lang w:eastAsia="zh-CN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5" o:spid="_x0000_s1026" o:spt="202" type="#_x0000_t202" style="position:absolute;left:0pt;margin-left:298.05pt;margin-top:-22pt;height:56.2pt;width:205.9pt;z-index:251660288;mso-width-relative:page;mso-height-relative:page;" filled="f" stroked="f" coordsize="21600,21600" o:gfxdata="UEsDBAoAAAAAAIdO4kAAAAAAAAAAAAAAAAAEAAAAZHJzL1BLAwQUAAAACACHTuJAq9otqNgAAAAL&#10;AQAADwAAAGRycy9kb3ducmV2LnhtbE2PwU7DMBBE70j8g7VI3Fo7KA1Nmk0PIK4gWkDqzY23SUS8&#10;jmK3CX+Pe4Ljap9m3pTb2fbiQqPvHCMkSwWCuHam4wbhY/+yWIPwQbPRvWNC+CEP2+r2ptSFcRO/&#10;02UXGhFD2BcaoQ1hKKT0dUtW+6UbiOPv5EarQzzHRppRTzHc9vJBqUxa3XFsaPVATy3V37uzRfh8&#10;PR2+UvXWPNvVMLlZSba5RLy/S9QGRKA5/MFw1Y/qUEWnozuz8aJHWOVZElGERZrGUVdCqcccxBEh&#10;W6cgq1L+31D9AlBLAwQUAAAACACHTuJAy7mQmgkCAAAWBAAADgAAAGRycy9lMm9Eb2MueG1srVPB&#10;btswDL0P2D8Iui+Os6TtjDhF16DDgK4b0O4DGFmOhdmiRimxs68fJadZ1l162MWQSOrxvUd6eT10&#10;rdhr8gZtKfPJVAptFVbGbkv5/enu3ZUUPoCtoEWrS3nQXl6v3r5Z9q7QM2ywrTQJBrG+6F0pmxBc&#10;kWVeNboDP0GnLSdrpA4CX2mbVQQ9o3dtNptOL7IeqXKESnvP0fWYlEdEeg0g1rVReo1q12kbRlTS&#10;LQSW5BvjvFwltnWtVfha114H0ZaSlYb05SZ83sRvtlpCsSVwjVFHCvAaCi80dWAsNz1BrSGA2JH5&#10;B6ozitBjHSYKu2wUkhxhFfn0hTePDTidtLDV3p1M9/8PVj3sv5EwFW/CTAoLHU/8SQ9BfMRBzBfR&#10;n975gsseHReGgeNcm7R6d4/qhxcWbxuwW31DhH2joWJ+eXyZnT0dcXwE2fRfsOI+sAuYgIaaumge&#10;2yEYnWdzOM0mclEcnF3ki+nVXArFucv8/eU8DS+D4vm1Ix8+aexEPJSSePYJHfb3PkQ2UDyXxGYW&#10;70zbpvm39q8AF8ZIYh8Jj9TDsBmObmywOrAOwnGd+GfiQ4P0S4qeV6mU/ucOSEvRfrbsxYd8zmRF&#10;SJf54nLGFzrPbM4zYBVDlTJIMR5vw7ivO0dm23Cn0X2LN+xfbZK0aPTI6sib1yUpPq523Mfze6r6&#10;8zuvf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r2i2o2AAAAAsBAAAPAAAAAAAAAAEAIAAAACIA&#10;AABkcnMvZG93bnJldi54bWxQSwECFAAUAAAACACHTuJAy7mQmgkCAAAWBAAADgAAAAAAAAABACAA&#10;AAAnAQAAZHJzL2Uyb0RvYy54bWxQSwUGAAAAAAYABgBZAQAAo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F0190F2">
                      <w:pPr>
                        <w:spacing w:before="146" w:beforeLines="45" w:after="163" w:line="180" w:lineRule="auto"/>
                        <w:ind w:right="170" w:rightChars="71" w:firstLine="198" w:firstLineChars="58"/>
                        <w:jc w:val="right"/>
                        <w:rPr>
                          <w:rFonts w:hint="eastAsia" w:ascii="黑体" w:hAnsi="黑体" w:eastAsia="黑体"/>
                          <w:color w:val="FFFFFF" w:themeColor="background1"/>
                          <w:sz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b/>
                          <w:color w:val="FFFFFF"/>
                          <w:spacing w:val="10"/>
                          <w:position w:val="6"/>
                          <w:sz w:val="32"/>
                          <w:szCs w:val="21"/>
                          <w:lang w:eastAsia="zh-CN"/>
                        </w:rPr>
                        <w:t>20</w:t>
                      </w:r>
                      <w:r>
                        <w:rPr>
                          <w:rFonts w:ascii="黑体" w:hAnsi="黑体" w:eastAsia="黑体"/>
                          <w:b/>
                          <w:color w:val="FFFFFF"/>
                          <w:spacing w:val="10"/>
                          <w:position w:val="6"/>
                          <w:sz w:val="32"/>
                          <w:szCs w:val="21"/>
                          <w:lang w:eastAsia="zh-CN"/>
                        </w:rPr>
                        <w:t>2</w:t>
                      </w:r>
                      <w:r>
                        <w:rPr>
                          <w:rFonts w:hint="eastAsia" w:ascii="黑体" w:hAnsi="黑体" w:eastAsia="黑体"/>
                          <w:b/>
                          <w:color w:val="FFFFFF"/>
                          <w:spacing w:val="10"/>
                          <w:position w:val="6"/>
                          <w:sz w:val="32"/>
                          <w:szCs w:val="21"/>
                          <w:lang w:eastAsia="zh-CN"/>
                        </w:rPr>
                        <w:t>5年4月21日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/>
          <w:noProof/>
          <w:color w:val="106D9C" w:themeColor="accent1"/>
          <w:sz w:val="80"/>
          <w:szCs w:val="80"/>
          <w:lang w:eastAsia="zh-CN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0C1BB6" wp14:editId="618FF686">
                <wp:simplePos x="0" y="0"/>
                <wp:positionH relativeFrom="column">
                  <wp:posOffset>-920115</wp:posOffset>
                </wp:positionH>
                <wp:positionV relativeFrom="paragraph">
                  <wp:posOffset>-283210</wp:posOffset>
                </wp:positionV>
                <wp:extent cx="2163445" cy="645795"/>
                <wp:effectExtent l="0" t="0" r="0" b="1905"/>
                <wp:wrapNone/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3445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000F85" w14:textId="77777777" w:rsidR="003346FE" w:rsidRDefault="006072F2">
                            <w:pPr>
                              <w:spacing w:beforeLines="45" w:before="146" w:after="163" w:line="180" w:lineRule="auto"/>
                              <w:ind w:firstLineChars="0" w:firstLine="0"/>
                              <w:rPr>
                                <w:rFonts w:ascii="黑体" w:eastAsia="黑体" w:hAnsi="黑体"/>
                                <w:color w:val="FFFFFF" w:themeColor="background1"/>
                                <w:sz w:val="32"/>
                                <w:lang w:eastAsia="zh-CN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color w:val="FFFFFF"/>
                                <w:spacing w:val="10"/>
                                <w:position w:val="6"/>
                                <w:sz w:val="32"/>
                                <w:szCs w:val="21"/>
                                <w:lang w:eastAsia="zh-CN"/>
                              </w:rPr>
                              <w:t>20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color w:val="FFFFFF"/>
                                <w:spacing w:val="10"/>
                                <w:position w:val="6"/>
                                <w:sz w:val="32"/>
                                <w:szCs w:val="21"/>
                                <w:lang w:eastAsia="zh-CN"/>
                              </w:rPr>
                              <w:t>2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color w:val="FFFFFF"/>
                                <w:spacing w:val="10"/>
                                <w:position w:val="6"/>
                                <w:sz w:val="32"/>
                                <w:szCs w:val="21"/>
                                <w:lang w:eastAsia="zh-CN"/>
                              </w:rPr>
                              <w:t>5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color w:val="FFFFFF"/>
                                <w:spacing w:val="10"/>
                                <w:position w:val="6"/>
                                <w:sz w:val="32"/>
                                <w:szCs w:val="21"/>
                                <w:lang w:eastAsia="zh-CN"/>
                              </w:rPr>
                              <w:t>年第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color w:val="FFFFFF"/>
                                <w:spacing w:val="10"/>
                                <w:position w:val="6"/>
                                <w:sz w:val="32"/>
                                <w:szCs w:val="21"/>
                                <w:lang w:eastAsia="zh-CN"/>
                              </w:rPr>
                              <w:t>1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color w:val="FFFFFF"/>
                                <w:spacing w:val="10"/>
                                <w:position w:val="6"/>
                                <w:sz w:val="32"/>
                                <w:szCs w:val="21"/>
                                <w:lang w:eastAsia="zh-CN"/>
                              </w:rPr>
                              <w:t>季度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3" o:spid="_x0000_s1026" o:spt="202" type="#_x0000_t202" style="position:absolute;left:0pt;margin-left:-72.45pt;margin-top:-22.3pt;height:50.85pt;width:170.35pt;z-index:251659264;mso-width-relative:page;mso-height-relative:page;" filled="f" stroked="f" coordsize="21600,21600" o:gfxdata="UEsDBAoAAAAAAIdO4kAAAAAAAAAAAAAAAAAEAAAAZHJzL1BLAwQUAAAACACHTuJAoupgYNgAAAAL&#10;AQAADwAAAGRycy9kb3ducmV2LnhtbE2PTU/DMAyG70j8h8hI3LakKB20NN0BxBXE+JC4ZY3XVjRO&#10;1WRr+fd4J7jZ8qPXz1ttFz+IE06xD2QgWysQSE1wPbUG3t+eVncgYrLk7BAIDfxghG19eVHZ0oWZ&#10;XvG0S63gEIqlNdClNJZSxqZDb+M6jEh8O4TJ28Tr1Eo32ZnD/SBvlNpIb3viD50d8aHD5nt39AY+&#10;ng9fn1q9tI8+H+ewKEm+kMZcX2XqHkTCJf3BcNZndajZaR+O5KIYDKwyrQtmedJ6A+KMFDm32RvI&#10;bzOQdSX/d6h/AVBLAwQUAAAACACHTuJAnB9HvwgCAAAWBAAADgAAAGRycy9lMm9Eb2MueG1srVPB&#10;btswDL0P2D8Iui+O0yRbjThF16DDgK4b0O4DGFmOhdmiRimxu68fJadZ1l162MWQSOrxvUd6dTV0&#10;rTho8gZtKfPJVAptFVbG7kr5/fH23QcpfABbQYtWl/JJe3m1fvtm1btCz7DBttIkGMT6onelbEJw&#10;RZZ51egO/ASdtpyskToIfKVdVhH0jN612Ww6XWY9UuUIlfaeo5sxKY+I9BpArGuj9AbVvtM2jKik&#10;WwgsyTfGeblObOtaq/C1rr0Ooi0lKw3py034vI3fbL2CYkfgGqOOFOA1FF5o6sBYbnqC2kAAsSfz&#10;D1RnFKHHOkwUdtkoJDnCKvLpC28eGnA6aWGrvTuZ7v8frLo/fCNhKt6EXAoLHU/8UQ9BfMRBzC6i&#10;P73zBZc9OC4MA8e5Nmn17g7VDy8s3jRgd/qaCPtGQ8X88vgyO3s64vgIsu2/YMV9YB8wAQ01ddE8&#10;tkMwOs/m6TSbyEVxcJYvL+bzhRSKc8v54v3lIrWA4vm1Ix8+aexEPJSSePYJHQ53PkQ2UDyXxGYW&#10;b03bpvm39q8AF8ZIYh8Jj9TDsB2ObmyxemIdhOM68c/EhwbplxQ9r1Ip/c89kJai/WzZi8t8Po+7&#10;ly7MfMYXOs9szzNgFUOVMkgxHm/CuK97R2bXcKfRfYvX7F9tkrRo9MjqyJvXJSk+rnbcx/N7qvrz&#10;O69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LqYGDYAAAACwEAAA8AAAAAAAAAAQAgAAAAIgAA&#10;AGRycy9kb3ducmV2LnhtbFBLAQIUABQAAAAIAIdO4kCcH0e/CAIAABYEAAAOAAAAAAAAAAEAIAAA&#10;ACc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A3A646D">
                      <w:pPr>
                        <w:spacing w:before="146" w:beforeLines="45" w:after="163" w:line="180" w:lineRule="auto"/>
                        <w:ind w:firstLine="0" w:firstLineChars="0"/>
                        <w:rPr>
                          <w:rFonts w:hint="eastAsia" w:ascii="黑体" w:hAnsi="黑体" w:eastAsia="黑体"/>
                          <w:color w:val="FFFFFF" w:themeColor="background1"/>
                          <w:sz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b/>
                          <w:color w:val="FFFFFF"/>
                          <w:spacing w:val="10"/>
                          <w:position w:val="6"/>
                          <w:sz w:val="32"/>
                          <w:szCs w:val="21"/>
                          <w:lang w:eastAsia="zh-CN"/>
                        </w:rPr>
                        <w:t>20</w:t>
                      </w:r>
                      <w:r>
                        <w:rPr>
                          <w:rFonts w:ascii="黑体" w:hAnsi="黑体" w:eastAsia="黑体"/>
                          <w:b/>
                          <w:color w:val="FFFFFF"/>
                          <w:spacing w:val="10"/>
                          <w:position w:val="6"/>
                          <w:sz w:val="32"/>
                          <w:szCs w:val="21"/>
                          <w:lang w:eastAsia="zh-CN"/>
                        </w:rPr>
                        <w:t>2</w:t>
                      </w:r>
                      <w:r>
                        <w:rPr>
                          <w:rFonts w:hint="eastAsia" w:ascii="黑体" w:hAnsi="黑体" w:eastAsia="黑体"/>
                          <w:b/>
                          <w:color w:val="FFFFFF"/>
                          <w:spacing w:val="10"/>
                          <w:position w:val="6"/>
                          <w:sz w:val="32"/>
                          <w:szCs w:val="21"/>
                          <w:lang w:eastAsia="zh-CN"/>
                        </w:rPr>
                        <w:t>5年第1季度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f2"/>
        <w:tblpPr w:leftFromText="181" w:rightFromText="181" w:vertAnchor="text" w:horzAnchor="page" w:tblpX="3652" w:tblpY="6482"/>
        <w:tblW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</w:tblGrid>
      <w:tr w:rsidR="003346FE" w14:paraId="5F145D15" w14:textId="77777777">
        <w:trPr>
          <w:trHeight w:val="283"/>
        </w:trPr>
        <w:tc>
          <w:tcPr>
            <w:tcW w:w="1134" w:type="dxa"/>
          </w:tcPr>
          <w:p w14:paraId="6DE9D74C" w14:textId="77777777" w:rsidR="003346FE" w:rsidRDefault="006072F2">
            <w:pPr>
              <w:spacing w:before="163"/>
              <w:ind w:firstLineChars="0" w:firstLine="0"/>
              <w:rPr>
                <w:rFonts w:ascii="Times New Roman" w:eastAsia="宋体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宋体" w:hAnsi="Times New Roman" w:cs="Times New Roman"/>
                <w:b/>
                <w:sz w:val="28"/>
                <w:szCs w:val="28"/>
                <w:lang w:eastAsia="zh-CN"/>
              </w:rPr>
              <w:t>撰稿人</w:t>
            </w:r>
          </w:p>
        </w:tc>
        <w:tc>
          <w:tcPr>
            <w:tcW w:w="1134" w:type="dxa"/>
          </w:tcPr>
          <w:p w14:paraId="3EF57213" w14:textId="77777777" w:rsidR="003346FE" w:rsidRDefault="006072F2">
            <w:pPr>
              <w:spacing w:before="163"/>
              <w:ind w:firstLineChars="0" w:firstLine="0"/>
              <w:rPr>
                <w:rFonts w:ascii="Times New Roman" w:eastAsia="宋体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宋体" w:hAnsi="Times New Roman" w:cs="Times New Roman"/>
                <w:b/>
                <w:sz w:val="28"/>
                <w:szCs w:val="28"/>
                <w:lang w:eastAsia="zh-CN"/>
              </w:rPr>
              <w:t>张</w:t>
            </w:r>
            <w:r>
              <w:rPr>
                <w:rFonts w:ascii="Times New Roman" w:eastAsia="宋体" w:hAnsi="Times New Roman" w:cs="Times New Roman"/>
                <w:b/>
                <w:sz w:val="28"/>
                <w:szCs w:val="28"/>
                <w:lang w:eastAsia="zh-CN"/>
              </w:rPr>
              <w:t xml:space="preserve">  </w:t>
            </w:r>
            <w:r>
              <w:rPr>
                <w:rFonts w:ascii="Times New Roman" w:eastAsia="宋体" w:hAnsi="Times New Roman" w:cs="Times New Roman"/>
                <w:b/>
                <w:sz w:val="28"/>
                <w:szCs w:val="28"/>
                <w:lang w:eastAsia="zh-CN"/>
              </w:rPr>
              <w:t>斌</w:t>
            </w:r>
          </w:p>
        </w:tc>
        <w:tc>
          <w:tcPr>
            <w:tcW w:w="1134" w:type="dxa"/>
          </w:tcPr>
          <w:p w14:paraId="6926194B" w14:textId="77777777" w:rsidR="003346FE" w:rsidRDefault="006072F2">
            <w:pPr>
              <w:spacing w:before="163"/>
              <w:ind w:firstLineChars="0" w:firstLine="0"/>
              <w:rPr>
                <w:rFonts w:ascii="Times New Roman" w:eastAsia="宋体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宋体" w:hAnsi="Times New Roman" w:cs="Times New Roman"/>
                <w:b/>
                <w:sz w:val="28"/>
                <w:szCs w:val="28"/>
                <w:lang w:eastAsia="zh-CN"/>
              </w:rPr>
              <w:t>肖立晟</w:t>
            </w:r>
          </w:p>
        </w:tc>
        <w:tc>
          <w:tcPr>
            <w:tcW w:w="1134" w:type="dxa"/>
          </w:tcPr>
          <w:p w14:paraId="75A53CA4" w14:textId="77777777" w:rsidR="003346FE" w:rsidRDefault="006072F2">
            <w:pPr>
              <w:spacing w:before="163"/>
              <w:ind w:firstLineChars="0" w:firstLine="0"/>
              <w:rPr>
                <w:rFonts w:ascii="Times New Roman" w:eastAsia="宋体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宋体" w:hAnsi="Times New Roman" w:cs="Times New Roman"/>
                <w:b/>
                <w:sz w:val="28"/>
                <w:szCs w:val="28"/>
                <w:lang w:eastAsia="zh-CN"/>
              </w:rPr>
              <w:t>杨子荣</w:t>
            </w:r>
          </w:p>
        </w:tc>
      </w:tr>
      <w:tr w:rsidR="003346FE" w14:paraId="13BEEFE7" w14:textId="77777777">
        <w:trPr>
          <w:trHeight w:val="283"/>
        </w:trPr>
        <w:tc>
          <w:tcPr>
            <w:tcW w:w="1134" w:type="dxa"/>
          </w:tcPr>
          <w:p w14:paraId="2B43D20F" w14:textId="77777777" w:rsidR="003346FE" w:rsidRDefault="003346FE">
            <w:pPr>
              <w:spacing w:before="163"/>
              <w:ind w:firstLineChars="0" w:firstLine="0"/>
              <w:rPr>
                <w:rFonts w:ascii="Times New Roman" w:eastAsia="宋体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134" w:type="dxa"/>
          </w:tcPr>
          <w:p w14:paraId="63DE64B6" w14:textId="77777777" w:rsidR="003346FE" w:rsidRDefault="006072F2">
            <w:pPr>
              <w:spacing w:before="163"/>
              <w:ind w:firstLineChars="0" w:firstLine="0"/>
              <w:rPr>
                <w:rFonts w:ascii="Times New Roman" w:eastAsia="宋体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sz w:val="28"/>
                <w:szCs w:val="28"/>
                <w:lang w:eastAsia="zh-CN"/>
              </w:rPr>
              <w:t>黄宇韬</w:t>
            </w:r>
          </w:p>
        </w:tc>
        <w:tc>
          <w:tcPr>
            <w:tcW w:w="1134" w:type="dxa"/>
          </w:tcPr>
          <w:p w14:paraId="65CA7D18" w14:textId="77777777" w:rsidR="003346FE" w:rsidRDefault="006072F2">
            <w:pPr>
              <w:spacing w:before="163"/>
              <w:ind w:firstLineChars="0" w:firstLine="0"/>
              <w:rPr>
                <w:rFonts w:ascii="Times New Roman" w:eastAsia="宋体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宋体" w:hAnsi="Times New Roman" w:cs="Times New Roman"/>
                <w:b/>
                <w:sz w:val="28"/>
                <w:szCs w:val="28"/>
                <w:lang w:eastAsia="zh-CN"/>
              </w:rPr>
              <w:t>周学智</w:t>
            </w:r>
          </w:p>
        </w:tc>
        <w:tc>
          <w:tcPr>
            <w:tcW w:w="1134" w:type="dxa"/>
          </w:tcPr>
          <w:p w14:paraId="242DFFE6" w14:textId="77777777" w:rsidR="003346FE" w:rsidRDefault="006072F2">
            <w:pPr>
              <w:spacing w:before="163"/>
              <w:ind w:firstLineChars="0" w:firstLine="0"/>
              <w:rPr>
                <w:rFonts w:ascii="Times New Roman" w:eastAsia="宋体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宋体" w:hAnsi="Times New Roman" w:cs="Times New Roman"/>
                <w:b/>
                <w:sz w:val="28"/>
                <w:szCs w:val="28"/>
                <w:lang w:eastAsia="zh-CN"/>
              </w:rPr>
              <w:t>徐奇渊</w:t>
            </w:r>
          </w:p>
        </w:tc>
      </w:tr>
      <w:tr w:rsidR="003346FE" w14:paraId="2A4CB420" w14:textId="77777777">
        <w:trPr>
          <w:trHeight w:val="283"/>
        </w:trPr>
        <w:tc>
          <w:tcPr>
            <w:tcW w:w="1134" w:type="dxa"/>
          </w:tcPr>
          <w:p w14:paraId="1F062020" w14:textId="77777777" w:rsidR="003346FE" w:rsidRDefault="003346FE">
            <w:pPr>
              <w:spacing w:before="163"/>
              <w:ind w:firstLineChars="0" w:firstLine="0"/>
              <w:rPr>
                <w:rFonts w:ascii="Times New Roman" w:eastAsia="宋体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134" w:type="dxa"/>
          </w:tcPr>
          <w:p w14:paraId="490B2FBC" w14:textId="77777777" w:rsidR="003346FE" w:rsidRDefault="006072F2">
            <w:pPr>
              <w:spacing w:before="163"/>
              <w:ind w:firstLineChars="0" w:firstLine="0"/>
              <w:rPr>
                <w:rFonts w:ascii="宋体" w:eastAsia="宋体" w:hAnsi="宋体" w:cs="宋体"/>
                <w:b/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sz w:val="28"/>
                <w:szCs w:val="28"/>
                <w:lang w:eastAsia="zh-CN"/>
              </w:rPr>
              <w:t>杨盼盼</w:t>
            </w:r>
          </w:p>
        </w:tc>
        <w:tc>
          <w:tcPr>
            <w:tcW w:w="1134" w:type="dxa"/>
          </w:tcPr>
          <w:p w14:paraId="4D331D68" w14:textId="77777777" w:rsidR="003346FE" w:rsidRDefault="006072F2">
            <w:pPr>
              <w:spacing w:before="163"/>
              <w:ind w:firstLineChars="0" w:firstLine="0"/>
              <w:rPr>
                <w:rFonts w:ascii="宋体" w:eastAsia="宋体" w:hAnsi="宋体" w:cs="宋体"/>
                <w:b/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sz w:val="28"/>
                <w:szCs w:val="28"/>
              </w:rPr>
              <w:t>倪淑慧</w:t>
            </w:r>
          </w:p>
        </w:tc>
        <w:tc>
          <w:tcPr>
            <w:tcW w:w="1134" w:type="dxa"/>
          </w:tcPr>
          <w:p w14:paraId="3CFBFE04" w14:textId="77777777" w:rsidR="003346FE" w:rsidRDefault="006072F2">
            <w:pPr>
              <w:spacing w:before="163"/>
              <w:ind w:firstLineChars="0" w:firstLine="0"/>
              <w:rPr>
                <w:rFonts w:ascii="宋体" w:eastAsia="宋体" w:hAnsi="宋体" w:cs="宋体"/>
                <w:b/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sz w:val="28"/>
                <w:szCs w:val="28"/>
              </w:rPr>
              <w:t>吴立元</w:t>
            </w:r>
          </w:p>
        </w:tc>
      </w:tr>
      <w:tr w:rsidR="003346FE" w14:paraId="56E08B0B" w14:textId="77777777">
        <w:trPr>
          <w:trHeight w:val="283"/>
        </w:trPr>
        <w:tc>
          <w:tcPr>
            <w:tcW w:w="1134" w:type="dxa"/>
          </w:tcPr>
          <w:p w14:paraId="5BA6ECD7" w14:textId="77777777" w:rsidR="003346FE" w:rsidRDefault="003346FE">
            <w:pPr>
              <w:spacing w:before="163"/>
              <w:ind w:firstLineChars="0" w:firstLine="0"/>
              <w:rPr>
                <w:rFonts w:ascii="Times New Roman" w:eastAsia="宋体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134" w:type="dxa"/>
          </w:tcPr>
          <w:p w14:paraId="2DD8DD4E" w14:textId="77777777" w:rsidR="003346FE" w:rsidRDefault="006072F2">
            <w:pPr>
              <w:spacing w:before="163"/>
              <w:ind w:firstLineChars="0" w:firstLine="0"/>
              <w:rPr>
                <w:rFonts w:ascii="宋体" w:eastAsia="宋体" w:hAnsi="宋体" w:cs="宋体"/>
                <w:b/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sz w:val="28"/>
                <w:szCs w:val="28"/>
              </w:rPr>
              <w:t>常殊昱</w:t>
            </w:r>
          </w:p>
        </w:tc>
        <w:tc>
          <w:tcPr>
            <w:tcW w:w="1134" w:type="dxa"/>
          </w:tcPr>
          <w:p w14:paraId="73AED412" w14:textId="77777777" w:rsidR="003346FE" w:rsidRDefault="006072F2">
            <w:pPr>
              <w:spacing w:before="163"/>
              <w:ind w:firstLineChars="0" w:firstLine="0"/>
              <w:rPr>
                <w:rFonts w:ascii="宋体" w:eastAsia="宋体" w:hAnsi="宋体" w:cs="宋体"/>
                <w:b/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sz w:val="28"/>
                <w:szCs w:val="28"/>
              </w:rPr>
              <w:t>栾</w:t>
            </w:r>
            <w:r>
              <w:rPr>
                <w:rFonts w:ascii="宋体" w:eastAsia="宋体" w:hAnsi="宋体" w:cs="宋体" w:hint="eastAsia"/>
                <w:b/>
                <w:sz w:val="28"/>
                <w:szCs w:val="28"/>
              </w:rPr>
              <w:t xml:space="preserve">  </w:t>
            </w:r>
            <w:r>
              <w:rPr>
                <w:rFonts w:ascii="宋体" w:eastAsia="宋体" w:hAnsi="宋体" w:cs="宋体" w:hint="eastAsia"/>
                <w:b/>
                <w:sz w:val="28"/>
                <w:szCs w:val="28"/>
              </w:rPr>
              <w:t>稀</w:t>
            </w:r>
          </w:p>
        </w:tc>
        <w:tc>
          <w:tcPr>
            <w:tcW w:w="1134" w:type="dxa"/>
          </w:tcPr>
          <w:p w14:paraId="150AB578" w14:textId="77777777" w:rsidR="003346FE" w:rsidRDefault="006072F2">
            <w:pPr>
              <w:spacing w:before="163"/>
              <w:ind w:firstLineChars="0" w:firstLine="0"/>
              <w:rPr>
                <w:rFonts w:ascii="宋体" w:eastAsia="宋体" w:hAnsi="宋体" w:cs="宋体"/>
                <w:b/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sz w:val="28"/>
                <w:szCs w:val="28"/>
              </w:rPr>
              <w:t>陈</w:t>
            </w:r>
            <w:r>
              <w:rPr>
                <w:rFonts w:ascii="宋体" w:eastAsia="宋体" w:hAnsi="宋体" w:cs="宋体" w:hint="eastAsia"/>
                <w:b/>
                <w:sz w:val="28"/>
                <w:szCs w:val="28"/>
              </w:rPr>
              <w:t xml:space="preserve">  </w:t>
            </w:r>
            <w:r>
              <w:rPr>
                <w:rFonts w:ascii="宋体" w:eastAsia="宋体" w:hAnsi="宋体" w:cs="宋体" w:hint="eastAsia"/>
                <w:b/>
                <w:sz w:val="28"/>
                <w:szCs w:val="28"/>
              </w:rPr>
              <w:t>博</w:t>
            </w:r>
          </w:p>
        </w:tc>
      </w:tr>
      <w:tr w:rsidR="003346FE" w14:paraId="19C16DE1" w14:textId="77777777">
        <w:trPr>
          <w:trHeight w:val="283"/>
        </w:trPr>
        <w:tc>
          <w:tcPr>
            <w:tcW w:w="1134" w:type="dxa"/>
          </w:tcPr>
          <w:p w14:paraId="7F4305A6" w14:textId="77777777" w:rsidR="003346FE" w:rsidRDefault="003346FE">
            <w:pPr>
              <w:spacing w:before="163"/>
              <w:ind w:firstLineChars="0" w:firstLine="0"/>
              <w:rPr>
                <w:rFonts w:ascii="Times New Roman" w:eastAsia="宋体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134" w:type="dxa"/>
          </w:tcPr>
          <w:p w14:paraId="493CBDA5" w14:textId="77777777" w:rsidR="003346FE" w:rsidRDefault="006072F2">
            <w:pPr>
              <w:spacing w:before="163"/>
              <w:ind w:firstLineChars="0" w:firstLine="0"/>
              <w:rPr>
                <w:rFonts w:ascii="宋体" w:eastAsia="宋体" w:hAnsi="宋体" w:cs="宋体"/>
                <w:b/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sz w:val="28"/>
                <w:szCs w:val="28"/>
              </w:rPr>
              <w:t>周伊敏</w:t>
            </w:r>
          </w:p>
        </w:tc>
        <w:tc>
          <w:tcPr>
            <w:tcW w:w="1134" w:type="dxa"/>
          </w:tcPr>
          <w:p w14:paraId="3A444506" w14:textId="77777777" w:rsidR="003346FE" w:rsidRDefault="006072F2">
            <w:pPr>
              <w:spacing w:before="163"/>
              <w:ind w:firstLineChars="0" w:firstLine="0"/>
              <w:rPr>
                <w:rFonts w:ascii="宋体" w:eastAsia="宋体" w:hAnsi="宋体" w:cs="宋体"/>
                <w:b/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sz w:val="28"/>
                <w:szCs w:val="28"/>
              </w:rPr>
              <w:t>崔晓敏</w:t>
            </w:r>
          </w:p>
        </w:tc>
        <w:tc>
          <w:tcPr>
            <w:tcW w:w="1134" w:type="dxa"/>
          </w:tcPr>
          <w:p w14:paraId="6818C81A" w14:textId="77777777" w:rsidR="003346FE" w:rsidRDefault="006072F2">
            <w:pPr>
              <w:spacing w:before="163"/>
              <w:ind w:firstLineChars="0" w:firstLine="0"/>
              <w:rPr>
                <w:rFonts w:ascii="宋体" w:eastAsia="宋体" w:hAnsi="宋体" w:cs="宋体"/>
                <w:b/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sz w:val="28"/>
                <w:szCs w:val="28"/>
              </w:rPr>
              <w:t>熊婉婷</w:t>
            </w:r>
          </w:p>
        </w:tc>
      </w:tr>
    </w:tbl>
    <w:p w14:paraId="2CA121D0" w14:textId="77777777" w:rsidR="003346FE" w:rsidRDefault="006072F2">
      <w:pPr>
        <w:adjustRightInd w:val="0"/>
        <w:spacing w:before="163" w:after="163" w:line="276" w:lineRule="auto"/>
        <w:ind w:firstLine="420"/>
        <w:rPr>
          <w:rFonts w:ascii="Times New Roman" w:eastAsia="宋体" w:hAnsi="Times New Roman" w:cs="Times New Roman"/>
          <w:lang w:eastAsia="zh-CN" w:bidi="ar-SA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F1519D" wp14:editId="46D4D332">
                <wp:simplePos x="0" y="0"/>
                <wp:positionH relativeFrom="column">
                  <wp:posOffset>-1150620</wp:posOffset>
                </wp:positionH>
                <wp:positionV relativeFrom="paragraph">
                  <wp:posOffset>486410</wp:posOffset>
                </wp:positionV>
                <wp:extent cx="7591425" cy="3371850"/>
                <wp:effectExtent l="0" t="0" r="0" b="0"/>
                <wp:wrapNone/>
                <wp:docPr id="1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425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6354C3" w14:textId="77777777" w:rsidR="003346FE" w:rsidRDefault="006072F2">
                            <w:pPr>
                              <w:spacing w:beforeLines="45" w:before="146" w:line="180" w:lineRule="auto"/>
                              <w:ind w:firstLineChars="0" w:firstLine="0"/>
                              <w:jc w:val="center"/>
                              <w:rPr>
                                <w:rFonts w:ascii="黑体" w:eastAsia="黑体" w:hAnsi="黑体"/>
                                <w:b/>
                                <w:spacing w:val="10"/>
                                <w:position w:val="6"/>
                                <w:sz w:val="52"/>
                                <w:szCs w:val="52"/>
                                <w:lang w:eastAsia="zh-CN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spacing w:val="10"/>
                                <w:position w:val="6"/>
                                <w:sz w:val="52"/>
                                <w:szCs w:val="52"/>
                                <w:lang w:eastAsia="zh-CN"/>
                              </w:rPr>
                              <w:t>全球宏观经济季度报告</w:t>
                            </w:r>
                          </w:p>
                          <w:p w14:paraId="15B7BDA5" w14:textId="77777777" w:rsidR="003346FE" w:rsidRDefault="003346FE">
                            <w:pPr>
                              <w:spacing w:beforeLines="45" w:before="146" w:line="180" w:lineRule="auto"/>
                              <w:ind w:firstLineChars="0" w:firstLine="0"/>
                              <w:jc w:val="center"/>
                              <w:rPr>
                                <w:rFonts w:ascii="黑体" w:eastAsia="黑体" w:hAnsi="黑体"/>
                                <w:b/>
                                <w:spacing w:val="10"/>
                                <w:position w:val="6"/>
                                <w:sz w:val="44"/>
                                <w:szCs w:val="44"/>
                                <w:lang w:eastAsia="zh-CN"/>
                              </w:rPr>
                            </w:pPr>
                          </w:p>
                          <w:p w14:paraId="44F31FB5" w14:textId="77777777" w:rsidR="003346FE" w:rsidRDefault="006072F2">
                            <w:pPr>
                              <w:spacing w:beforeLines="45" w:before="146" w:line="180" w:lineRule="auto"/>
                              <w:ind w:firstLineChars="0" w:firstLine="0"/>
                              <w:jc w:val="center"/>
                              <w:rPr>
                                <w:rFonts w:ascii="黑体" w:eastAsia="黑体" w:hAnsi="黑体"/>
                                <w:b/>
                                <w:spacing w:val="10"/>
                                <w:position w:val="6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spacing w:val="10"/>
                                <w:position w:val="6"/>
                                <w:sz w:val="32"/>
                                <w:szCs w:val="32"/>
                                <w:lang w:eastAsia="zh-CN"/>
                              </w:rPr>
                              <w:t>总览：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bCs/>
                                <w:spacing w:val="10"/>
                                <w:position w:val="6"/>
                                <w:sz w:val="32"/>
                                <w:szCs w:val="32"/>
                                <w:lang w:eastAsia="zh-CN"/>
                              </w:rPr>
                              <w:t>20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bCs/>
                                <w:spacing w:val="10"/>
                                <w:position w:val="6"/>
                                <w:sz w:val="32"/>
                                <w:szCs w:val="32"/>
                                <w:lang w:eastAsia="zh-CN"/>
                              </w:rPr>
                              <w:t>2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bCs/>
                                <w:spacing w:val="10"/>
                                <w:position w:val="6"/>
                                <w:sz w:val="32"/>
                                <w:szCs w:val="32"/>
                                <w:lang w:eastAsia="zh-CN"/>
                              </w:rPr>
                              <w:t>5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bCs/>
                                <w:spacing w:val="10"/>
                                <w:position w:val="6"/>
                                <w:sz w:val="32"/>
                                <w:szCs w:val="32"/>
                                <w:lang w:eastAsia="zh-CN"/>
                              </w:rPr>
                              <w:t>年春季全球宏观经济运行与分析</w:t>
                            </w:r>
                          </w:p>
                          <w:p w14:paraId="3E144882" w14:textId="77777777" w:rsidR="003346FE" w:rsidRDefault="003346FE">
                            <w:pPr>
                              <w:spacing w:beforeLines="45" w:before="146" w:line="180" w:lineRule="auto"/>
                              <w:ind w:firstLineChars="0" w:firstLine="0"/>
                              <w:jc w:val="center"/>
                              <w:rPr>
                                <w:rFonts w:ascii="黑体" w:eastAsia="黑体" w:hAnsi="黑体"/>
                                <w:b/>
                                <w:color w:val="646464"/>
                                <w:spacing w:val="10"/>
                                <w:position w:val="6"/>
                                <w:sz w:val="30"/>
                                <w:szCs w:val="30"/>
                                <w:lang w:eastAsia="zh-CN"/>
                              </w:rPr>
                            </w:pPr>
                          </w:p>
                          <w:p w14:paraId="2B2E7054" w14:textId="77777777" w:rsidR="003346FE" w:rsidRDefault="003346FE">
                            <w:pPr>
                              <w:spacing w:beforeLines="45" w:before="146" w:line="180" w:lineRule="auto"/>
                              <w:ind w:firstLineChars="0" w:firstLine="0"/>
                              <w:jc w:val="center"/>
                              <w:rPr>
                                <w:rFonts w:ascii="黑体" w:eastAsia="黑体" w:hAnsi="黑体"/>
                                <w:b/>
                                <w:color w:val="646464"/>
                                <w:spacing w:val="10"/>
                                <w:position w:val="6"/>
                                <w:sz w:val="32"/>
                                <w:szCs w:val="32"/>
                                <w:lang w:eastAsia="zh-CN"/>
                              </w:rPr>
                            </w:pPr>
                          </w:p>
                          <w:p w14:paraId="2F981CD6" w14:textId="77777777" w:rsidR="003346FE" w:rsidRDefault="003346FE">
                            <w:pPr>
                              <w:spacing w:beforeLines="45" w:before="146" w:line="180" w:lineRule="auto"/>
                              <w:ind w:firstLineChars="0" w:firstLine="0"/>
                              <w:jc w:val="center"/>
                              <w:rPr>
                                <w:rFonts w:ascii="黑体" w:eastAsia="黑体" w:hAnsi="黑体"/>
                                <w:b/>
                                <w:color w:val="646464"/>
                                <w:spacing w:val="10"/>
                                <w:position w:val="6"/>
                                <w:sz w:val="32"/>
                                <w:szCs w:val="32"/>
                                <w:lang w:eastAsia="zh-CN"/>
                              </w:rPr>
                            </w:pPr>
                          </w:p>
                          <w:p w14:paraId="7996FACE" w14:textId="77777777" w:rsidR="003346FE" w:rsidRDefault="003346FE">
                            <w:pPr>
                              <w:spacing w:beforeLines="45" w:before="146" w:line="180" w:lineRule="auto"/>
                              <w:ind w:firstLineChars="0" w:firstLine="0"/>
                              <w:jc w:val="center"/>
                              <w:rPr>
                                <w:rFonts w:ascii="黑体" w:eastAsia="黑体" w:hAnsi="黑体"/>
                                <w:sz w:val="44"/>
                                <w:szCs w:val="44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7" o:spid="_x0000_s1026" o:spt="202" type="#_x0000_t202" style="position:absolute;left:0pt;margin-left:-90.6pt;margin-top:38.3pt;height:265.5pt;width:597.75pt;z-index:251661312;mso-width-relative:page;mso-height-relative:page;" filled="f" stroked="f" coordsize="21600,21600" o:gfxdata="UEsDBAoAAAAAAIdO4kAAAAAAAAAAAAAAAAAEAAAAZHJzL1BLAwQUAAAACACHTuJAG38OH9kAAAAM&#10;AQAADwAAAGRycy9kb3ducmV2LnhtbE2PwU7DMBBE70j8g7VI3Fo7pbglZNMDiCuIApV6c+NtEhGv&#10;o9htwt/jnuC4mqeZt8Vmcp040xBazwjZXIEgrrxtuUb4/HiZrUGEaNiazjMh/FCATXl9VZjc+pHf&#10;6byNtUglHHKD0MTY51KGqiFnwtz3xCk7+sGZmM6hlnYwYyp3nVwopaUzLaeFxvT01FD1vT05hK/X&#10;4363VG/1s7vvRz8pye5BIt7eZOoRRKQp/sFw0U/qUCangz+xDaJDmGXrbJFYhJXWIC6EypZ3IA4I&#10;Wq00yLKQ/58ofwFQSwMEFAAAAAgAh07iQLfE0RYIAgAAFwQAAA4AAABkcnMvZTJvRG9jLnhtbK1T&#10;wW7bMAy9D9g/CLovTtJk6Yw4Rdegw4CuG9DuAxhZjoXZokYpsbOvHyWnWdpeethFkEjq8b0nannV&#10;t43Ya/IGbSEno7EU2iosjd0W8ufj7YdLKXwAW0KDVhfyoL28Wr1/t+xcrqdYY1NqEgxifd65QtYh&#10;uDzLvKp1C36ETltOVkgtBD7SNisJOkZvm2w6Hn/MOqTSESrtPUfXQ1IeEektgFhVRuk1ql2rbRhQ&#10;STcQWJKvjfNyldhWlVbhe1V5HURTSFYa0spNeL+Ja7ZaQr4lcLVRRwrwFgovNLVgLDc9Qa0hgNiR&#10;eQXVGkXosQojhW02CEmOsIrJ+IU3DzU4nbSw1d6dTPf/D1bd73+QMCVPAltioeUXf9R9EJ+xF7NF&#10;9KdzPueyB8eFoec41yat3t2h+uWFxZsa7FZfE2FXayiZ3yTezM6uDjg+gmy6b1hyH9gFTEB9RW00&#10;j+0QjM5EDqe3iVwUBxfzT5PZdC6F4tzFxWJyOU+vl0H+dN2RD180tiJuCkn8+Ake9nc+RDqQP5XE&#10;bhZvTdOkAWjsswAXxkiiHxkP3EO/6Y92bLA8sBDCYZ74N/GmRvojRcezVEj/ewekpWi+WjaDmc/i&#10;8KXDbL6Y8oHOM5vzDFjFUIUMUgzbmzAM7M6R2dbcabDf4jUbWJkkLTo9sDry5nlJio+zHQfy/Jyq&#10;/v3n1V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bfw4f2QAAAAwBAAAPAAAAAAAAAAEAIAAAACIA&#10;AABkcnMvZG93bnJldi54bWxQSwECFAAUAAAACACHTuJAt8TRFggCAAAXBAAADgAAAAAAAAABACAA&#10;AAAoAQAAZHJzL2Uyb0RvYy54bWxQSwUGAAAAAAYABgBZAQAAo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536A136">
                      <w:pPr>
                        <w:spacing w:before="146" w:beforeLines="45" w:line="180" w:lineRule="auto"/>
                        <w:ind w:firstLine="0" w:firstLineChars="0"/>
                        <w:jc w:val="center"/>
                        <w:rPr>
                          <w:rFonts w:hint="eastAsia" w:ascii="黑体" w:hAnsi="黑体" w:eastAsia="黑体"/>
                          <w:b/>
                          <w:spacing w:val="10"/>
                          <w:position w:val="6"/>
                          <w:sz w:val="52"/>
                          <w:szCs w:val="52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/>
                          <w:b/>
                          <w:spacing w:val="10"/>
                          <w:position w:val="6"/>
                          <w:sz w:val="52"/>
                          <w:szCs w:val="52"/>
                          <w:lang w:eastAsia="zh-CN"/>
                        </w:rPr>
                        <w:t>全球宏观经济季度报告</w:t>
                      </w:r>
                    </w:p>
                    <w:p w14:paraId="6BD36443">
                      <w:pPr>
                        <w:spacing w:before="146" w:beforeLines="45" w:line="180" w:lineRule="auto"/>
                        <w:ind w:firstLine="0" w:firstLineChars="0"/>
                        <w:jc w:val="center"/>
                        <w:rPr>
                          <w:rFonts w:hint="eastAsia" w:ascii="黑体" w:hAnsi="黑体" w:eastAsia="黑体"/>
                          <w:b/>
                          <w:spacing w:val="10"/>
                          <w:position w:val="6"/>
                          <w:sz w:val="44"/>
                          <w:szCs w:val="44"/>
                          <w:lang w:eastAsia="zh-CN"/>
                        </w:rPr>
                      </w:pPr>
                    </w:p>
                    <w:p w14:paraId="27BA61C4">
                      <w:pPr>
                        <w:spacing w:before="146" w:beforeLines="45" w:line="180" w:lineRule="auto"/>
                        <w:ind w:firstLine="0" w:firstLineChars="0"/>
                        <w:jc w:val="center"/>
                        <w:rPr>
                          <w:rFonts w:hint="eastAsia" w:ascii="黑体" w:hAnsi="黑体" w:eastAsia="黑体"/>
                          <w:b/>
                          <w:spacing w:val="10"/>
                          <w:position w:val="6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/>
                          <w:b/>
                          <w:spacing w:val="10"/>
                          <w:position w:val="6"/>
                          <w:sz w:val="32"/>
                          <w:szCs w:val="32"/>
                          <w:lang w:eastAsia="zh-CN"/>
                        </w:rPr>
                        <w:t>总览：</w:t>
                      </w:r>
                      <w:r>
                        <w:rPr>
                          <w:rFonts w:hint="eastAsia" w:ascii="黑体" w:hAnsi="黑体" w:eastAsia="黑体"/>
                          <w:b/>
                          <w:bCs/>
                          <w:spacing w:val="10"/>
                          <w:position w:val="6"/>
                          <w:sz w:val="32"/>
                          <w:szCs w:val="32"/>
                          <w:lang w:eastAsia="zh-CN"/>
                        </w:rPr>
                        <w:t>20</w:t>
                      </w:r>
                      <w:r>
                        <w:rPr>
                          <w:rFonts w:ascii="黑体" w:hAnsi="黑体" w:eastAsia="黑体"/>
                          <w:b/>
                          <w:bCs/>
                          <w:spacing w:val="10"/>
                          <w:position w:val="6"/>
                          <w:sz w:val="32"/>
                          <w:szCs w:val="32"/>
                          <w:lang w:eastAsia="zh-CN"/>
                        </w:rPr>
                        <w:t>2</w:t>
                      </w:r>
                      <w:r>
                        <w:rPr>
                          <w:rFonts w:hint="eastAsia" w:ascii="黑体" w:hAnsi="黑体" w:eastAsia="黑体"/>
                          <w:b/>
                          <w:bCs/>
                          <w:spacing w:val="10"/>
                          <w:position w:val="6"/>
                          <w:sz w:val="32"/>
                          <w:szCs w:val="32"/>
                          <w:lang w:eastAsia="zh-CN"/>
                        </w:rPr>
                        <w:t>5年春季全球宏观经济运行与分析</w:t>
                      </w:r>
                    </w:p>
                    <w:p w14:paraId="344566C2">
                      <w:pPr>
                        <w:spacing w:before="146" w:beforeLines="45" w:line="180" w:lineRule="auto"/>
                        <w:ind w:firstLine="0" w:firstLineChars="0"/>
                        <w:jc w:val="center"/>
                        <w:rPr>
                          <w:rFonts w:hint="eastAsia" w:ascii="黑体" w:hAnsi="黑体" w:eastAsia="黑体"/>
                          <w:b/>
                          <w:color w:val="646464"/>
                          <w:spacing w:val="10"/>
                          <w:position w:val="6"/>
                          <w:sz w:val="30"/>
                          <w:szCs w:val="30"/>
                          <w:lang w:eastAsia="zh-CN"/>
                        </w:rPr>
                      </w:pPr>
                    </w:p>
                    <w:p w14:paraId="6583F00C">
                      <w:pPr>
                        <w:spacing w:before="146" w:beforeLines="45" w:line="180" w:lineRule="auto"/>
                        <w:ind w:firstLine="0" w:firstLineChars="0"/>
                        <w:jc w:val="center"/>
                        <w:rPr>
                          <w:rFonts w:hint="eastAsia" w:ascii="黑体" w:hAnsi="黑体" w:eastAsia="黑体"/>
                          <w:b/>
                          <w:color w:val="646464"/>
                          <w:spacing w:val="10"/>
                          <w:position w:val="6"/>
                          <w:sz w:val="32"/>
                          <w:szCs w:val="32"/>
                          <w:lang w:eastAsia="zh-CN"/>
                        </w:rPr>
                      </w:pPr>
                    </w:p>
                    <w:p w14:paraId="119CF8D2">
                      <w:pPr>
                        <w:spacing w:before="146" w:beforeLines="45" w:line="180" w:lineRule="auto"/>
                        <w:ind w:firstLine="0" w:firstLineChars="0"/>
                        <w:jc w:val="center"/>
                        <w:rPr>
                          <w:rFonts w:hint="eastAsia" w:ascii="黑体" w:hAnsi="黑体" w:eastAsia="黑体"/>
                          <w:b/>
                          <w:color w:val="646464"/>
                          <w:spacing w:val="10"/>
                          <w:position w:val="6"/>
                          <w:sz w:val="32"/>
                          <w:szCs w:val="32"/>
                          <w:lang w:eastAsia="zh-CN"/>
                        </w:rPr>
                      </w:pPr>
                    </w:p>
                    <w:p w14:paraId="4E023873">
                      <w:pPr>
                        <w:spacing w:before="146" w:beforeLines="45" w:line="180" w:lineRule="auto"/>
                        <w:ind w:firstLine="0" w:firstLineChars="0"/>
                        <w:jc w:val="center"/>
                        <w:rPr>
                          <w:rFonts w:hint="eastAsia" w:ascii="黑体" w:hAnsi="黑体" w:eastAsia="黑体"/>
                          <w:sz w:val="44"/>
                          <w:szCs w:val="44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/>
          <w:lang w:eastAsia="zh-CN" w:bidi="ar-SA"/>
        </w:rPr>
        <w:br w:type="page"/>
      </w:r>
    </w:p>
    <w:p w14:paraId="3C9AF092" w14:textId="77777777" w:rsidR="003346FE" w:rsidRDefault="006072F2">
      <w:pPr>
        <w:adjustRightInd w:val="0"/>
        <w:spacing w:before="163" w:after="200" w:line="276" w:lineRule="auto"/>
        <w:ind w:firstLineChars="0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lastRenderedPageBreak/>
        <w:t>《全球宏观经济季度报告》由中国社会科学院世界经济与政治研究所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、</w:t>
      </w:r>
      <w:r>
        <w:rPr>
          <w:rFonts w:ascii="Times New Roman" w:eastAsia="宋体" w:hAnsi="Times New Roman" w:cs="宋体" w:hint="eastAsia"/>
          <w:sz w:val="21"/>
          <w:szCs w:val="21"/>
          <w:lang w:eastAsia="zh-CN"/>
        </w:rPr>
        <w:t>中国社会科学院国家全球战略智库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全球宏观经济研究室为您提供。</w:t>
      </w:r>
    </w:p>
    <w:tbl>
      <w:tblPr>
        <w:tblStyle w:val="32"/>
        <w:tblW w:w="8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276"/>
        <w:gridCol w:w="1843"/>
        <w:gridCol w:w="1276"/>
        <w:gridCol w:w="2126"/>
      </w:tblGrid>
      <w:tr w:rsidR="003346FE" w14:paraId="5D072F5A" w14:textId="77777777">
        <w:trPr>
          <w:trHeight w:val="1294"/>
        </w:trPr>
        <w:tc>
          <w:tcPr>
            <w:tcW w:w="8222" w:type="dxa"/>
            <w:gridSpan w:val="5"/>
            <w:vAlign w:val="center"/>
          </w:tcPr>
          <w:p w14:paraId="1F0BD9DF" w14:textId="77777777" w:rsidR="003346FE" w:rsidRDefault="006072F2">
            <w:pPr>
              <w:adjustRightInd w:val="0"/>
              <w:spacing w:before="120" w:after="12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bookmarkStart w:id="0" w:name="_Hlk520445227"/>
            <w: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中国社会科学院世界经济与政治研究所</w:t>
            </w:r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 xml:space="preserve">  </w:t>
            </w:r>
            <w:r>
              <w:rPr>
                <w:rFonts w:ascii="Times New Roman" w:eastAsia="宋体" w:hAnsi="Times New Roman" w:cs="宋体" w:hint="eastAsia"/>
                <w:sz w:val="21"/>
                <w:szCs w:val="21"/>
                <w:lang w:eastAsia="zh-CN"/>
              </w:rPr>
              <w:t>中国社会科学院国家全球战略智库</w:t>
            </w:r>
          </w:p>
          <w:p w14:paraId="24B208C5" w14:textId="77777777" w:rsidR="003346FE" w:rsidRDefault="006072F2">
            <w:pPr>
              <w:adjustRightInd w:val="0"/>
              <w:spacing w:before="120" w:after="12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全球宏观经济研究组</w:t>
            </w:r>
          </w:p>
        </w:tc>
      </w:tr>
      <w:tr w:rsidR="003346FE" w14:paraId="4F964F90" w14:textId="77777777">
        <w:trPr>
          <w:trHeight w:val="567"/>
        </w:trPr>
        <w:tc>
          <w:tcPr>
            <w:tcW w:w="1701" w:type="dxa"/>
            <w:vAlign w:val="center"/>
          </w:tcPr>
          <w:p w14:paraId="77B07BF7" w14:textId="77777777" w:rsidR="003346FE" w:rsidRDefault="006072F2">
            <w:pPr>
              <w:adjustRightInd w:val="0"/>
              <w:spacing w:before="120" w:after="120" w:line="300" w:lineRule="auto"/>
              <w:ind w:firstLineChars="0"/>
              <w:rPr>
                <w:rFonts w:ascii="Times New Roman" w:eastAsia="宋体" w:hAnsi="Times New Roman" w:cs="Times New Roman"/>
                <w:b/>
                <w:sz w:val="21"/>
                <w:szCs w:val="21"/>
                <w:lang w:eastAsia="zh-CN" w:bidi="ar-SA"/>
              </w:rPr>
            </w:pPr>
            <w:r>
              <w:rPr>
                <w:rFonts w:ascii="Times New Roman" w:eastAsia="宋体" w:hAnsi="Times New Roman" w:cs="Times New Roman"/>
                <w:b/>
                <w:sz w:val="21"/>
                <w:szCs w:val="21"/>
                <w:lang w:eastAsia="zh-CN" w:bidi="ar-SA"/>
              </w:rPr>
              <w:t>顾问</w:t>
            </w:r>
          </w:p>
        </w:tc>
        <w:tc>
          <w:tcPr>
            <w:tcW w:w="1276" w:type="dxa"/>
            <w:vAlign w:val="center"/>
          </w:tcPr>
          <w:p w14:paraId="48909EA1" w14:textId="77777777" w:rsidR="003346FE" w:rsidRDefault="006072F2">
            <w:pPr>
              <w:adjustRightInd w:val="0"/>
              <w:spacing w:before="120" w:after="12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  <w:t>张宇燕</w:t>
            </w:r>
          </w:p>
        </w:tc>
        <w:tc>
          <w:tcPr>
            <w:tcW w:w="1843" w:type="dxa"/>
            <w:vAlign w:val="center"/>
          </w:tcPr>
          <w:p w14:paraId="6F224F8A" w14:textId="77777777" w:rsidR="003346FE" w:rsidRDefault="003346FE">
            <w:pPr>
              <w:adjustRightInd w:val="0"/>
              <w:spacing w:before="120" w:after="12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</w:p>
        </w:tc>
        <w:tc>
          <w:tcPr>
            <w:tcW w:w="1276" w:type="dxa"/>
            <w:vAlign w:val="center"/>
          </w:tcPr>
          <w:p w14:paraId="12526529" w14:textId="77777777" w:rsidR="003346FE" w:rsidRDefault="003346FE">
            <w:pPr>
              <w:adjustRightInd w:val="0"/>
              <w:spacing w:before="120" w:after="12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</w:p>
        </w:tc>
        <w:tc>
          <w:tcPr>
            <w:tcW w:w="2126" w:type="dxa"/>
            <w:vAlign w:val="center"/>
          </w:tcPr>
          <w:p w14:paraId="7DFF8B77" w14:textId="77777777" w:rsidR="003346FE" w:rsidRDefault="003346FE">
            <w:pPr>
              <w:adjustRightInd w:val="0"/>
              <w:spacing w:before="120" w:after="12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</w:p>
        </w:tc>
      </w:tr>
      <w:tr w:rsidR="003346FE" w14:paraId="26949CC0" w14:textId="77777777">
        <w:trPr>
          <w:trHeight w:val="567"/>
        </w:trPr>
        <w:tc>
          <w:tcPr>
            <w:tcW w:w="1701" w:type="dxa"/>
            <w:vAlign w:val="center"/>
          </w:tcPr>
          <w:p w14:paraId="5477208D" w14:textId="77777777" w:rsidR="003346FE" w:rsidRDefault="006072F2">
            <w:pPr>
              <w:adjustRightInd w:val="0"/>
              <w:spacing w:before="120" w:after="120" w:line="300" w:lineRule="auto"/>
              <w:ind w:firstLineChars="0"/>
              <w:rPr>
                <w:rFonts w:ascii="Times New Roman" w:eastAsia="宋体" w:hAnsi="Times New Roman" w:cs="Times New Roman"/>
                <w:b/>
                <w:sz w:val="21"/>
                <w:szCs w:val="21"/>
                <w:lang w:eastAsia="zh-CN" w:bidi="ar-SA"/>
              </w:rPr>
            </w:pPr>
            <w:r>
              <w:rPr>
                <w:rFonts w:ascii="Times New Roman" w:eastAsia="宋体" w:hAnsi="Times New Roman" w:cs="Times New Roman"/>
                <w:b/>
                <w:sz w:val="21"/>
                <w:szCs w:val="21"/>
                <w:lang w:eastAsia="zh-CN" w:bidi="ar-SA"/>
              </w:rPr>
              <w:t>首席专家</w:t>
            </w:r>
          </w:p>
        </w:tc>
        <w:tc>
          <w:tcPr>
            <w:tcW w:w="1276" w:type="dxa"/>
            <w:vAlign w:val="center"/>
          </w:tcPr>
          <w:p w14:paraId="7928A7DF" w14:textId="77777777" w:rsidR="003346FE" w:rsidRDefault="006072F2">
            <w:pPr>
              <w:adjustRightInd w:val="0"/>
              <w:spacing w:before="120" w:after="12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  <w:t>张</w:t>
            </w: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  <w:t xml:space="preserve">  </w:t>
            </w: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  <w:t>斌</w:t>
            </w:r>
          </w:p>
        </w:tc>
        <w:tc>
          <w:tcPr>
            <w:tcW w:w="1843" w:type="dxa"/>
            <w:vAlign w:val="center"/>
          </w:tcPr>
          <w:p w14:paraId="27BD105F" w14:textId="77777777" w:rsidR="003346FE" w:rsidRDefault="003346FE">
            <w:pPr>
              <w:adjustRightInd w:val="0"/>
              <w:spacing w:before="120" w:after="12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</w:p>
        </w:tc>
        <w:tc>
          <w:tcPr>
            <w:tcW w:w="1276" w:type="dxa"/>
            <w:vAlign w:val="center"/>
          </w:tcPr>
          <w:p w14:paraId="1B29D7D1" w14:textId="77777777" w:rsidR="003346FE" w:rsidRDefault="006072F2">
            <w:pPr>
              <w:adjustRightInd w:val="0"/>
              <w:spacing w:before="120" w:after="12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  <w:t>姚枝仲</w:t>
            </w:r>
          </w:p>
        </w:tc>
        <w:tc>
          <w:tcPr>
            <w:tcW w:w="2126" w:type="dxa"/>
            <w:vAlign w:val="center"/>
          </w:tcPr>
          <w:p w14:paraId="2F493575" w14:textId="77777777" w:rsidR="003346FE" w:rsidRDefault="003346FE">
            <w:pPr>
              <w:adjustRightInd w:val="0"/>
              <w:spacing w:before="120" w:after="12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</w:p>
        </w:tc>
      </w:tr>
      <w:tr w:rsidR="003346FE" w14:paraId="62A46E65" w14:textId="77777777">
        <w:trPr>
          <w:trHeight w:val="567"/>
        </w:trPr>
        <w:tc>
          <w:tcPr>
            <w:tcW w:w="1701" w:type="dxa"/>
            <w:vAlign w:val="center"/>
          </w:tcPr>
          <w:p w14:paraId="2E4E4406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b/>
                <w:sz w:val="21"/>
                <w:szCs w:val="21"/>
                <w:lang w:eastAsia="zh-CN" w:bidi="ar-SA"/>
              </w:rPr>
            </w:pPr>
            <w:r>
              <w:rPr>
                <w:rFonts w:ascii="Times New Roman" w:eastAsia="宋体" w:hAnsi="Times New Roman" w:cs="Times New Roman"/>
                <w:b/>
                <w:sz w:val="21"/>
                <w:szCs w:val="21"/>
                <w:lang w:eastAsia="zh-CN" w:bidi="ar-SA"/>
              </w:rPr>
              <w:t>团队成员</w:t>
            </w:r>
          </w:p>
        </w:tc>
        <w:tc>
          <w:tcPr>
            <w:tcW w:w="1276" w:type="dxa"/>
            <w:vAlign w:val="center"/>
          </w:tcPr>
          <w:p w14:paraId="0B945E98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  <w:t>肖立晟</w:t>
            </w:r>
          </w:p>
        </w:tc>
        <w:tc>
          <w:tcPr>
            <w:tcW w:w="1843" w:type="dxa"/>
            <w:vAlign w:val="center"/>
          </w:tcPr>
          <w:p w14:paraId="55FD9A79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国际金融</w:t>
            </w:r>
          </w:p>
        </w:tc>
        <w:tc>
          <w:tcPr>
            <w:tcW w:w="1276" w:type="dxa"/>
            <w:vAlign w:val="center"/>
          </w:tcPr>
          <w:p w14:paraId="7D1C0911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曹永福</w:t>
            </w:r>
          </w:p>
        </w:tc>
        <w:tc>
          <w:tcPr>
            <w:tcW w:w="2126" w:type="dxa"/>
            <w:vAlign w:val="center"/>
          </w:tcPr>
          <w:p w14:paraId="3794CDB5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美国经济</w:t>
            </w:r>
          </w:p>
        </w:tc>
      </w:tr>
      <w:tr w:rsidR="003346FE" w14:paraId="276BB071" w14:textId="77777777">
        <w:trPr>
          <w:trHeight w:val="567"/>
        </w:trPr>
        <w:tc>
          <w:tcPr>
            <w:tcW w:w="1701" w:type="dxa"/>
            <w:vAlign w:val="center"/>
          </w:tcPr>
          <w:p w14:paraId="592C0A22" w14:textId="77777777" w:rsidR="003346FE" w:rsidRDefault="003346FE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</w:p>
        </w:tc>
        <w:tc>
          <w:tcPr>
            <w:tcW w:w="1276" w:type="dxa"/>
            <w:vAlign w:val="center"/>
          </w:tcPr>
          <w:p w14:paraId="098D9458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杨子荣</w:t>
            </w:r>
          </w:p>
        </w:tc>
        <w:tc>
          <w:tcPr>
            <w:tcW w:w="1843" w:type="dxa"/>
            <w:vAlign w:val="center"/>
          </w:tcPr>
          <w:p w14:paraId="1780AD37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美国经济</w:t>
            </w:r>
          </w:p>
        </w:tc>
        <w:tc>
          <w:tcPr>
            <w:tcW w:w="1276" w:type="dxa"/>
            <w:vAlign w:val="center"/>
          </w:tcPr>
          <w:p w14:paraId="3E81E821" w14:textId="48C219AB" w:rsidR="003346FE" w:rsidRDefault="00C777D5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  <w:r w:rsidRPr="00C777D5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 w:bidi="ar-SA"/>
              </w:rPr>
              <w:t>黄宇韬</w:t>
            </w:r>
          </w:p>
        </w:tc>
        <w:tc>
          <w:tcPr>
            <w:tcW w:w="2126" w:type="dxa"/>
            <w:vAlign w:val="center"/>
          </w:tcPr>
          <w:p w14:paraId="18B308F7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  <w:t>欧洲经济</w:t>
            </w:r>
          </w:p>
        </w:tc>
      </w:tr>
      <w:tr w:rsidR="003346FE" w14:paraId="7DDE47F1" w14:textId="77777777">
        <w:trPr>
          <w:trHeight w:val="567"/>
        </w:trPr>
        <w:tc>
          <w:tcPr>
            <w:tcW w:w="1701" w:type="dxa"/>
            <w:vAlign w:val="center"/>
          </w:tcPr>
          <w:p w14:paraId="695CA82E" w14:textId="77777777" w:rsidR="003346FE" w:rsidRDefault="003346FE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</w:p>
        </w:tc>
        <w:tc>
          <w:tcPr>
            <w:tcW w:w="1276" w:type="dxa"/>
            <w:vAlign w:val="center"/>
          </w:tcPr>
          <w:p w14:paraId="22ACD157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  <w:t>冯维江</w:t>
            </w:r>
          </w:p>
        </w:tc>
        <w:tc>
          <w:tcPr>
            <w:tcW w:w="1843" w:type="dxa"/>
            <w:vAlign w:val="center"/>
          </w:tcPr>
          <w:p w14:paraId="5AE7CE45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  <w:t>日本经济</w:t>
            </w:r>
          </w:p>
        </w:tc>
        <w:tc>
          <w:tcPr>
            <w:tcW w:w="1276" w:type="dxa"/>
            <w:vAlign w:val="center"/>
          </w:tcPr>
          <w:p w14:paraId="09E11AD7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  <w:t>周学智</w:t>
            </w:r>
          </w:p>
        </w:tc>
        <w:tc>
          <w:tcPr>
            <w:tcW w:w="2126" w:type="dxa"/>
            <w:vAlign w:val="center"/>
          </w:tcPr>
          <w:p w14:paraId="1BCF618E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  <w:t>日本经济</w:t>
            </w:r>
          </w:p>
        </w:tc>
      </w:tr>
      <w:tr w:rsidR="003346FE" w14:paraId="5ED4514A" w14:textId="77777777">
        <w:trPr>
          <w:trHeight w:val="567"/>
        </w:trPr>
        <w:tc>
          <w:tcPr>
            <w:tcW w:w="1701" w:type="dxa"/>
            <w:vAlign w:val="center"/>
          </w:tcPr>
          <w:p w14:paraId="537AF411" w14:textId="77777777" w:rsidR="003346FE" w:rsidRDefault="003346FE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</w:p>
        </w:tc>
        <w:tc>
          <w:tcPr>
            <w:tcW w:w="1276" w:type="dxa"/>
            <w:vAlign w:val="center"/>
          </w:tcPr>
          <w:p w14:paraId="2EF21268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熊爱宗</w:t>
            </w:r>
          </w:p>
        </w:tc>
        <w:tc>
          <w:tcPr>
            <w:tcW w:w="1843" w:type="dxa"/>
            <w:vAlign w:val="center"/>
          </w:tcPr>
          <w:p w14:paraId="17B8FEA5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金砖国家</w:t>
            </w:r>
          </w:p>
        </w:tc>
        <w:tc>
          <w:tcPr>
            <w:tcW w:w="1276" w:type="dxa"/>
            <w:vAlign w:val="center"/>
          </w:tcPr>
          <w:p w14:paraId="2F0DB1C5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吴立元</w:t>
            </w:r>
          </w:p>
        </w:tc>
        <w:tc>
          <w:tcPr>
            <w:tcW w:w="2126" w:type="dxa"/>
            <w:vAlign w:val="center"/>
          </w:tcPr>
          <w:p w14:paraId="3B69A464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金砖国家</w:t>
            </w:r>
          </w:p>
        </w:tc>
      </w:tr>
      <w:tr w:rsidR="003346FE" w14:paraId="5242232A" w14:textId="77777777">
        <w:trPr>
          <w:trHeight w:val="567"/>
        </w:trPr>
        <w:tc>
          <w:tcPr>
            <w:tcW w:w="1701" w:type="dxa"/>
            <w:vAlign w:val="center"/>
          </w:tcPr>
          <w:p w14:paraId="123F703B" w14:textId="77777777" w:rsidR="003346FE" w:rsidRDefault="003346FE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</w:p>
        </w:tc>
        <w:tc>
          <w:tcPr>
            <w:tcW w:w="1276" w:type="dxa"/>
            <w:vAlign w:val="center"/>
          </w:tcPr>
          <w:p w14:paraId="26C153F0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徐奇渊</w:t>
            </w:r>
          </w:p>
        </w:tc>
        <w:tc>
          <w:tcPr>
            <w:tcW w:w="1843" w:type="dxa"/>
            <w:vAlign w:val="center"/>
          </w:tcPr>
          <w:p w14:paraId="61BDE31F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中国经济</w:t>
            </w:r>
          </w:p>
        </w:tc>
        <w:tc>
          <w:tcPr>
            <w:tcW w:w="1276" w:type="dxa"/>
            <w:vAlign w:val="center"/>
          </w:tcPr>
          <w:p w14:paraId="4CBEFA4C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  <w:t>杨盼盼</w:t>
            </w:r>
          </w:p>
        </w:tc>
        <w:tc>
          <w:tcPr>
            <w:tcW w:w="2126" w:type="dxa"/>
            <w:vAlign w:val="center"/>
          </w:tcPr>
          <w:p w14:paraId="55950DE0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 w:bidi="ar-SA"/>
              </w:rPr>
              <w:t>中国经济</w:t>
            </w:r>
          </w:p>
        </w:tc>
      </w:tr>
      <w:tr w:rsidR="003346FE" w14:paraId="5B25BF74" w14:textId="77777777">
        <w:trPr>
          <w:trHeight w:val="567"/>
        </w:trPr>
        <w:tc>
          <w:tcPr>
            <w:tcW w:w="1701" w:type="dxa"/>
            <w:vAlign w:val="center"/>
          </w:tcPr>
          <w:p w14:paraId="4E4BE576" w14:textId="77777777" w:rsidR="003346FE" w:rsidRDefault="003346FE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</w:p>
        </w:tc>
        <w:tc>
          <w:tcPr>
            <w:tcW w:w="1276" w:type="dxa"/>
            <w:vAlign w:val="center"/>
          </w:tcPr>
          <w:p w14:paraId="50AECC96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倪淑慧</w:t>
            </w:r>
          </w:p>
        </w:tc>
        <w:tc>
          <w:tcPr>
            <w:tcW w:w="1843" w:type="dxa"/>
            <w:vAlign w:val="center"/>
          </w:tcPr>
          <w:p w14:paraId="5CEB85D6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东盟与韩国</w:t>
            </w:r>
          </w:p>
        </w:tc>
        <w:tc>
          <w:tcPr>
            <w:tcW w:w="1276" w:type="dxa"/>
            <w:vAlign w:val="center"/>
          </w:tcPr>
          <w:p w14:paraId="527A396F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常殊昱</w:t>
            </w:r>
          </w:p>
        </w:tc>
        <w:tc>
          <w:tcPr>
            <w:tcW w:w="2126" w:type="dxa"/>
            <w:vAlign w:val="center"/>
          </w:tcPr>
          <w:p w14:paraId="35FA373C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国际金融</w:t>
            </w:r>
          </w:p>
        </w:tc>
      </w:tr>
      <w:tr w:rsidR="003346FE" w14:paraId="0B97E2A0" w14:textId="77777777">
        <w:trPr>
          <w:trHeight w:val="567"/>
        </w:trPr>
        <w:tc>
          <w:tcPr>
            <w:tcW w:w="1701" w:type="dxa"/>
            <w:vAlign w:val="center"/>
          </w:tcPr>
          <w:p w14:paraId="522EA9FE" w14:textId="77777777" w:rsidR="003346FE" w:rsidRDefault="003346FE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</w:p>
        </w:tc>
        <w:tc>
          <w:tcPr>
            <w:tcW w:w="1276" w:type="dxa"/>
            <w:vAlign w:val="center"/>
          </w:tcPr>
          <w:p w14:paraId="633C61D8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  <w:t>栾</w:t>
            </w: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  <w:t xml:space="preserve">  </w:t>
            </w: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  <w:t>稀</w:t>
            </w:r>
          </w:p>
        </w:tc>
        <w:tc>
          <w:tcPr>
            <w:tcW w:w="1843" w:type="dxa"/>
            <w:vAlign w:val="center"/>
          </w:tcPr>
          <w:p w14:paraId="1E827CE1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国际金融</w:t>
            </w:r>
          </w:p>
        </w:tc>
        <w:tc>
          <w:tcPr>
            <w:tcW w:w="1276" w:type="dxa"/>
            <w:vAlign w:val="center"/>
          </w:tcPr>
          <w:p w14:paraId="0EFD7C50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  <w:t>李远芳</w:t>
            </w:r>
          </w:p>
        </w:tc>
        <w:tc>
          <w:tcPr>
            <w:tcW w:w="2126" w:type="dxa"/>
            <w:vAlign w:val="center"/>
          </w:tcPr>
          <w:p w14:paraId="2D96C1DC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国际金融</w:t>
            </w:r>
          </w:p>
        </w:tc>
      </w:tr>
      <w:tr w:rsidR="003346FE" w14:paraId="4BD53044" w14:textId="77777777">
        <w:trPr>
          <w:trHeight w:val="567"/>
        </w:trPr>
        <w:tc>
          <w:tcPr>
            <w:tcW w:w="1701" w:type="dxa"/>
            <w:vAlign w:val="center"/>
          </w:tcPr>
          <w:p w14:paraId="5CDDD576" w14:textId="77777777" w:rsidR="003346FE" w:rsidRDefault="003346FE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</w:p>
        </w:tc>
        <w:tc>
          <w:tcPr>
            <w:tcW w:w="1276" w:type="dxa"/>
            <w:vAlign w:val="center"/>
          </w:tcPr>
          <w:p w14:paraId="4552F8B1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陈</w:t>
            </w: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 </w:t>
            </w: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博</w:t>
            </w:r>
          </w:p>
        </w:tc>
        <w:tc>
          <w:tcPr>
            <w:tcW w:w="1843" w:type="dxa"/>
            <w:vAlign w:val="center"/>
          </w:tcPr>
          <w:p w14:paraId="1B1B7C90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大宗商品</w:t>
            </w:r>
          </w:p>
        </w:tc>
        <w:tc>
          <w:tcPr>
            <w:tcW w:w="1276" w:type="dxa"/>
            <w:vAlign w:val="center"/>
          </w:tcPr>
          <w:p w14:paraId="08866720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云</w:t>
            </w: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 </w:t>
            </w: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璐</w:t>
            </w:r>
          </w:p>
        </w:tc>
        <w:tc>
          <w:tcPr>
            <w:tcW w:w="2126" w:type="dxa"/>
            <w:vAlign w:val="center"/>
          </w:tcPr>
          <w:p w14:paraId="272EDCB1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大宗商品</w:t>
            </w:r>
          </w:p>
        </w:tc>
      </w:tr>
      <w:tr w:rsidR="003346FE" w14:paraId="46117E4E" w14:textId="77777777">
        <w:trPr>
          <w:trHeight w:val="567"/>
        </w:trPr>
        <w:tc>
          <w:tcPr>
            <w:tcW w:w="1701" w:type="dxa"/>
            <w:vAlign w:val="center"/>
          </w:tcPr>
          <w:p w14:paraId="4CA982DC" w14:textId="77777777" w:rsidR="003346FE" w:rsidRDefault="003346FE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</w:p>
        </w:tc>
        <w:tc>
          <w:tcPr>
            <w:tcW w:w="1276" w:type="dxa"/>
            <w:vAlign w:val="center"/>
          </w:tcPr>
          <w:p w14:paraId="1E0E09D1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陈逸豪</w:t>
            </w:r>
          </w:p>
        </w:tc>
        <w:tc>
          <w:tcPr>
            <w:tcW w:w="1843" w:type="dxa"/>
            <w:vAlign w:val="center"/>
          </w:tcPr>
          <w:p w14:paraId="1B9B4CE0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大宗商品</w:t>
            </w:r>
          </w:p>
        </w:tc>
        <w:tc>
          <w:tcPr>
            <w:tcW w:w="1276" w:type="dxa"/>
            <w:vAlign w:val="center"/>
          </w:tcPr>
          <w:p w14:paraId="2FE0FED3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  <w:t>吴海英</w:t>
            </w:r>
          </w:p>
        </w:tc>
        <w:tc>
          <w:tcPr>
            <w:tcW w:w="2126" w:type="dxa"/>
            <w:vAlign w:val="center"/>
          </w:tcPr>
          <w:p w14:paraId="659CA923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  <w:t>对外贸易</w:t>
            </w:r>
          </w:p>
        </w:tc>
      </w:tr>
      <w:tr w:rsidR="003346FE" w14:paraId="6B212CA8" w14:textId="77777777">
        <w:trPr>
          <w:trHeight w:val="567"/>
        </w:trPr>
        <w:tc>
          <w:tcPr>
            <w:tcW w:w="1701" w:type="dxa"/>
            <w:vAlign w:val="center"/>
          </w:tcPr>
          <w:p w14:paraId="282740F7" w14:textId="77777777" w:rsidR="003346FE" w:rsidRDefault="003346FE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</w:p>
        </w:tc>
        <w:tc>
          <w:tcPr>
            <w:tcW w:w="1276" w:type="dxa"/>
            <w:vAlign w:val="center"/>
          </w:tcPr>
          <w:p w14:paraId="04F41A47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  <w:t>崔晓敏</w:t>
            </w:r>
          </w:p>
        </w:tc>
        <w:tc>
          <w:tcPr>
            <w:tcW w:w="1843" w:type="dxa"/>
            <w:vAlign w:val="center"/>
          </w:tcPr>
          <w:p w14:paraId="23A0C167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对外贸易</w:t>
            </w:r>
          </w:p>
        </w:tc>
        <w:tc>
          <w:tcPr>
            <w:tcW w:w="1276" w:type="dxa"/>
            <w:vAlign w:val="center"/>
          </w:tcPr>
          <w:p w14:paraId="69285B51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熊婉婷</w:t>
            </w:r>
          </w:p>
        </w:tc>
        <w:tc>
          <w:tcPr>
            <w:tcW w:w="2126" w:type="dxa"/>
            <w:vAlign w:val="center"/>
          </w:tcPr>
          <w:p w14:paraId="4C441688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宏观经济</w:t>
            </w:r>
          </w:p>
        </w:tc>
      </w:tr>
      <w:tr w:rsidR="003346FE" w14:paraId="5D3FB463" w14:textId="77777777">
        <w:trPr>
          <w:trHeight w:val="567"/>
        </w:trPr>
        <w:tc>
          <w:tcPr>
            <w:tcW w:w="1701" w:type="dxa"/>
            <w:vAlign w:val="center"/>
          </w:tcPr>
          <w:p w14:paraId="72BB0D48" w14:textId="77777777" w:rsidR="003346FE" w:rsidRDefault="003346FE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</w:p>
        </w:tc>
        <w:tc>
          <w:tcPr>
            <w:tcW w:w="1276" w:type="dxa"/>
            <w:vAlign w:val="center"/>
          </w:tcPr>
          <w:p w14:paraId="0CF984DC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 w:bidi="ar-SA"/>
              </w:rPr>
              <w:t>夏广涛</w:t>
            </w:r>
          </w:p>
        </w:tc>
        <w:tc>
          <w:tcPr>
            <w:tcW w:w="1843" w:type="dxa"/>
            <w:vAlign w:val="center"/>
          </w:tcPr>
          <w:p w14:paraId="5B6AAF95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 w:bidi="ar-SA"/>
              </w:rPr>
              <w:t>外汇储备</w:t>
            </w:r>
          </w:p>
        </w:tc>
        <w:tc>
          <w:tcPr>
            <w:tcW w:w="1276" w:type="dxa"/>
            <w:vAlign w:val="center"/>
          </w:tcPr>
          <w:p w14:paraId="26DEC1CB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  <w:r>
              <w:rPr>
                <w:rFonts w:ascii="Times New Roman" w:eastAsia="宋体" w:hAnsi="Times New Roman" w:cs="Times New Roman" w:hint="eastAsia"/>
                <w:sz w:val="21"/>
                <w:szCs w:val="21"/>
                <w:lang w:eastAsia="zh-CN" w:bidi="ar-SA"/>
              </w:rPr>
              <w:t>廖世伟</w:t>
            </w:r>
          </w:p>
        </w:tc>
        <w:tc>
          <w:tcPr>
            <w:tcW w:w="2126" w:type="dxa"/>
            <w:vAlign w:val="center"/>
          </w:tcPr>
          <w:p w14:paraId="4ABD5A58" w14:textId="77777777" w:rsidR="003346FE" w:rsidRDefault="006072F2">
            <w:pPr>
              <w:adjustRightInd w:val="0"/>
              <w:spacing w:before="60" w:after="60" w:line="300" w:lineRule="auto"/>
              <w:ind w:firstLineChars="0"/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  <w:lang w:eastAsia="zh-CN" w:bidi="ar-SA"/>
              </w:rPr>
              <w:t>科研助理</w:t>
            </w:r>
          </w:p>
        </w:tc>
      </w:tr>
    </w:tbl>
    <w:bookmarkEnd w:id="0"/>
    <w:p w14:paraId="6FF832AC" w14:textId="77777777" w:rsidR="003346FE" w:rsidRDefault="006072F2">
      <w:pPr>
        <w:adjustRightInd w:val="0"/>
        <w:spacing w:before="163" w:after="200" w:line="276" w:lineRule="auto"/>
        <w:ind w:firstLineChars="0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联系人：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廖世伟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ab/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ab/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邮箱：</w:t>
      </w:r>
      <w:hyperlink r:id="rId10" w:history="1">
        <w:r w:rsidR="003346FE">
          <w:rPr>
            <w:rStyle w:val="af7"/>
            <w:rFonts w:ascii="Times New Roman" w:eastAsia="宋体" w:hAnsi="Times New Roman" w:cs="Times New Roman"/>
            <w:sz w:val="21"/>
            <w:szCs w:val="21"/>
            <w:lang w:eastAsia="zh-CN"/>
          </w:rPr>
          <w:t>iwepceem@163.com</w:t>
        </w:r>
      </w:hyperlink>
      <w:r>
        <w:rPr>
          <w:rFonts w:ascii="Times New Roman" w:eastAsia="宋体" w:hAnsi="Times New Roman" w:cs="Times New Roman"/>
          <w:sz w:val="21"/>
          <w:szCs w:val="21"/>
          <w:lang w:eastAsia="zh-CN"/>
        </w:rPr>
        <w:tab/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ab/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电话：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(86)10-85195775</w:t>
      </w:r>
    </w:p>
    <w:p w14:paraId="1FBCE23A" w14:textId="77777777" w:rsidR="003346FE" w:rsidRDefault="006072F2">
      <w:pPr>
        <w:adjustRightInd w:val="0"/>
        <w:spacing w:before="163" w:after="200" w:line="276" w:lineRule="auto"/>
        <w:ind w:firstLineChars="0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通讯地址：北京建国门内大街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5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号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1543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房间（邮政编码：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100732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）</w:t>
      </w:r>
    </w:p>
    <w:p w14:paraId="2C3F9AB8" w14:textId="77777777" w:rsidR="003346FE" w:rsidRDefault="006072F2">
      <w:pPr>
        <w:adjustRightInd w:val="0"/>
        <w:spacing w:before="163" w:after="200" w:line="276" w:lineRule="auto"/>
        <w:ind w:firstLineChars="0"/>
        <w:rPr>
          <w:rFonts w:ascii="Times New Roman" w:eastAsia="宋体" w:hAnsi="Times New Roman" w:cs="Times New Roman"/>
          <w:b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b/>
          <w:sz w:val="21"/>
          <w:szCs w:val="21"/>
          <w:lang w:eastAsia="zh-CN"/>
        </w:rPr>
        <w:t>免责声明：</w:t>
      </w:r>
    </w:p>
    <w:p w14:paraId="1F1F61E8" w14:textId="77777777" w:rsidR="003346FE" w:rsidRDefault="006072F2">
      <w:pPr>
        <w:adjustRightInd w:val="0"/>
        <w:spacing w:after="200" w:line="252" w:lineRule="auto"/>
        <w:ind w:firstLine="420"/>
        <w:rPr>
          <w:rFonts w:ascii="Times New Roman" w:eastAsia="宋体" w:hAnsi="Times New Roman" w:cs="Times New Roman"/>
          <w:sz w:val="21"/>
          <w:szCs w:val="21"/>
          <w:lang w:eastAsia="zh-CN"/>
        </w:rPr>
        <w:sectPr w:rsidR="003346F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版权为中国社会科学院世界经济与政治研究所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、</w:t>
      </w:r>
      <w:r>
        <w:rPr>
          <w:rFonts w:ascii="Times New Roman" w:eastAsia="宋体" w:hAnsi="Times New Roman" w:cs="宋体" w:hint="eastAsia"/>
          <w:sz w:val="21"/>
          <w:szCs w:val="21"/>
          <w:lang w:eastAsia="zh-CN"/>
        </w:rPr>
        <w:t>中国社会科学院国家全球战略智库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全球宏观经济研究组所有，未经本研究组许可，任何机构或个人不得以任何形式翻版、复制、上网和刊登，如有违反，本研究组保留法律追责权。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9639"/>
      </w:tblGrid>
      <w:tr w:rsidR="003346FE" w14:paraId="7F270835" w14:textId="77777777">
        <w:trPr>
          <w:trHeight w:val="349"/>
          <w:jc w:val="center"/>
        </w:trPr>
        <w:tc>
          <w:tcPr>
            <w:tcW w:w="9639" w:type="dxa"/>
          </w:tcPr>
          <w:p w14:paraId="11FBCBB0" w14:textId="77777777" w:rsidR="003346FE" w:rsidRDefault="006072F2">
            <w:pPr>
              <w:pStyle w:val="2"/>
              <w:pBdr>
                <w:bottom w:val="none" w:sz="0" w:space="0" w:color="auto"/>
              </w:pBdr>
              <w:adjustRightInd w:val="0"/>
              <w:spacing w:before="0" w:after="0"/>
              <w:ind w:firstLine="200"/>
              <w:rPr>
                <w:rFonts w:ascii="Times New Roman" w:eastAsia="宋体" w:hAnsi="Times New Roman" w:cs="Times New Roman"/>
                <w:color w:val="auto"/>
                <w:szCs w:val="30"/>
                <w:lang w:eastAsia="zh-CN" w:bidi="ar-SA"/>
              </w:rPr>
            </w:pPr>
            <w:bookmarkStart w:id="1" w:name="_Hlk132870420"/>
            <w:r>
              <w:rPr>
                <w:rFonts w:ascii="Times New Roman" w:eastAsia="宋体" w:hAnsi="Times New Roman" w:cs="Times New Roman" w:hint="eastAsia"/>
                <w:color w:val="auto"/>
                <w:szCs w:val="30"/>
                <w:lang w:eastAsia="zh-CN" w:bidi="ar-SA"/>
              </w:rPr>
              <w:lastRenderedPageBreak/>
              <w:t>2025</w:t>
            </w:r>
            <w:r>
              <w:rPr>
                <w:rFonts w:ascii="Times New Roman" w:eastAsia="宋体" w:hAnsi="Times New Roman" w:cs="Times New Roman" w:hint="eastAsia"/>
                <w:color w:val="auto"/>
                <w:szCs w:val="30"/>
                <w:lang w:eastAsia="zh-CN" w:bidi="ar-SA"/>
              </w:rPr>
              <w:t>年第</w:t>
            </w:r>
            <w:r>
              <w:rPr>
                <w:rFonts w:ascii="Times New Roman" w:eastAsia="宋体" w:hAnsi="Times New Roman" w:cs="Times New Roman" w:hint="eastAsia"/>
                <w:color w:val="auto"/>
                <w:szCs w:val="30"/>
                <w:lang w:eastAsia="zh-CN" w:bidi="ar-SA"/>
              </w:rPr>
              <w:t>1</w:t>
            </w:r>
            <w:r>
              <w:rPr>
                <w:rFonts w:ascii="Times New Roman" w:eastAsia="宋体" w:hAnsi="Times New Roman" w:cs="Times New Roman" w:hint="eastAsia"/>
                <w:color w:val="auto"/>
                <w:szCs w:val="30"/>
                <w:lang w:eastAsia="zh-CN" w:bidi="ar-SA"/>
              </w:rPr>
              <w:t>季度中国外部经济环境总览</w:t>
            </w:r>
          </w:p>
          <w:p w14:paraId="03C1E094" w14:textId="77777777" w:rsidR="003346FE" w:rsidRDefault="006072F2">
            <w:pPr>
              <w:pStyle w:val="2"/>
              <w:pBdr>
                <w:bottom w:val="none" w:sz="0" w:space="0" w:color="auto"/>
              </w:pBdr>
              <w:adjustRightInd w:val="0"/>
              <w:spacing w:before="0" w:after="0"/>
              <w:ind w:firstLine="200"/>
              <w:rPr>
                <w:rFonts w:ascii="Times New Roman" w:eastAsia="宋体" w:hAnsi="Times New Roman" w:cs="Times New Roman"/>
                <w:bCs/>
                <w:color w:val="auto"/>
                <w:sz w:val="28"/>
                <w:lang w:eastAsia="zh-CN" w:bidi="ar-SA"/>
              </w:rPr>
            </w:pPr>
            <w:r>
              <w:rPr>
                <w:rFonts w:ascii="Times New Roman" w:eastAsia="宋体" w:hAnsi="Times New Roman" w:cs="Times New Roman"/>
                <w:color w:val="auto"/>
                <w:sz w:val="28"/>
                <w:lang w:eastAsia="zh-CN" w:bidi="ar-SA"/>
              </w:rPr>
              <w:t>——</w:t>
            </w:r>
            <w:r>
              <w:rPr>
                <w:rFonts w:ascii="Times New Roman" w:eastAsia="宋体" w:hAnsi="Times New Roman" w:cs="Times New Roman"/>
                <w:bCs/>
                <w:color w:val="auto"/>
                <w:sz w:val="28"/>
                <w:lang w:eastAsia="zh-CN" w:bidi="ar-SA"/>
              </w:rPr>
              <w:t>202</w:t>
            </w:r>
            <w:r>
              <w:rPr>
                <w:rFonts w:ascii="Times New Roman" w:eastAsia="宋体" w:hAnsi="Times New Roman" w:cs="Times New Roman" w:hint="eastAsia"/>
                <w:bCs/>
                <w:color w:val="auto"/>
                <w:sz w:val="28"/>
                <w:lang w:eastAsia="zh-CN" w:bidi="ar-SA"/>
              </w:rPr>
              <w:t>5</w:t>
            </w:r>
            <w:r>
              <w:rPr>
                <w:rFonts w:ascii="Times New Roman" w:eastAsia="宋体" w:hAnsi="Times New Roman" w:cs="Times New Roman"/>
                <w:bCs/>
                <w:color w:val="auto"/>
                <w:sz w:val="28"/>
                <w:lang w:eastAsia="zh-CN" w:bidi="ar-SA"/>
              </w:rPr>
              <w:t>年</w:t>
            </w:r>
            <w:r>
              <w:rPr>
                <w:rFonts w:ascii="Times New Roman" w:eastAsia="宋体" w:hAnsi="Times New Roman" w:cs="Times New Roman" w:hint="eastAsia"/>
                <w:bCs/>
                <w:color w:val="auto"/>
                <w:sz w:val="28"/>
                <w:lang w:eastAsia="zh-CN" w:bidi="ar-SA"/>
              </w:rPr>
              <w:t>春</w:t>
            </w:r>
            <w:r>
              <w:rPr>
                <w:rFonts w:ascii="Times New Roman" w:eastAsia="宋体" w:hAnsi="Times New Roman" w:cs="Times New Roman"/>
                <w:bCs/>
                <w:color w:val="auto"/>
                <w:sz w:val="28"/>
                <w:lang w:eastAsia="zh-CN" w:bidi="ar-SA"/>
              </w:rPr>
              <w:t>季全球宏观经济运行与分析</w:t>
            </w:r>
          </w:p>
          <w:p w14:paraId="3FD145BD" w14:textId="77777777" w:rsidR="003346FE" w:rsidRDefault="006072F2">
            <w:pPr>
              <w:pStyle w:val="12"/>
              <w:widowControl w:val="0"/>
              <w:adjustRightInd w:val="0"/>
              <w:ind w:left="0" w:firstLine="480"/>
              <w:jc w:val="center"/>
              <w:rPr>
                <w:rFonts w:ascii="Times New Roman" w:eastAsia="宋体" w:hAnsi="Times New Roman" w:cs="Times New Roman"/>
                <w:color w:val="000000"/>
                <w:szCs w:val="24"/>
                <w:lang w:eastAsia="zh-CN" w:bidi="ar-SA"/>
              </w:rPr>
            </w:pPr>
            <w:r w:rsidRPr="00C777D5"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标题：全球经济下行风险上升</w:t>
            </w:r>
            <w:r w:rsidRPr="00C777D5"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 xml:space="preserve"> </w:t>
            </w:r>
            <w:r w:rsidRPr="00C777D5"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美元资产剧烈动荡</w:t>
            </w:r>
          </w:p>
          <w:p w14:paraId="5A6D316F" w14:textId="77777777" w:rsidR="003346FE" w:rsidRDefault="006072F2">
            <w:pPr>
              <w:pStyle w:val="12"/>
              <w:widowControl w:val="0"/>
              <w:adjustRightInd w:val="0"/>
              <w:spacing w:line="336" w:lineRule="auto"/>
              <w:ind w:left="0" w:firstLine="480"/>
              <w:rPr>
                <w:rFonts w:ascii="Times New Roman" w:eastAsia="宋体" w:hAnsi="Times New Roman" w:cs="Times New Roman"/>
                <w:color w:val="000000"/>
                <w:szCs w:val="24"/>
                <w:lang w:eastAsia="zh-CN" w:bidi="ar-SA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1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季度，中国外部经济综合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CEEM-PMI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指数季度低于荣枯线。美国经济增长动能趋于减弱，衰退风险上升。欧元区经济活动有所提升，但整体仍呈现较为低迷的态势。日本经济有所降温，并预计继续下滑。印度经济保持稳步增长，巴西经济复苏动能继续转弱，南非经济增长依然疲弱，俄罗斯经济延续短期韧性。东盟制造业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PMI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整体波动企稳，印尼带动景气回升，区内通胀分化，前沿经济体上行，美元指数走弱，货币与股市分化，展望第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2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季度，脆弱性上升，金融风险加剧。</w:t>
            </w:r>
          </w:p>
          <w:p w14:paraId="2A0E5DFF" w14:textId="77777777" w:rsidR="003346FE" w:rsidRDefault="006072F2">
            <w:pPr>
              <w:pStyle w:val="12"/>
              <w:widowControl w:val="0"/>
              <w:adjustRightInd w:val="0"/>
              <w:spacing w:line="336" w:lineRule="auto"/>
              <w:ind w:left="0" w:firstLine="480"/>
              <w:rPr>
                <w:rFonts w:ascii="Times New Roman" w:eastAsia="宋体" w:hAnsi="Times New Roman" w:cs="Times New Roman"/>
                <w:color w:val="000000"/>
                <w:szCs w:val="24"/>
                <w:lang w:eastAsia="zh-CN" w:bidi="ar-SA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1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季度，美国消费和私人投资继续正向拉动经济增长，但在关税政策冲击下，经济增长动能趋于减弱。软数据（预期类调查数据）大幅走弱，硬数据（消费、就业等指标）虽然尚未受到实质性冲击但风险明显上升，关税等政策的不确定性导致企业投资放缓和消费者信心减弱。美联储在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1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月和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3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月议息会议皆维持利率水平不变，市场预期年内降息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4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次。展望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2025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年，特朗普政府的关税政策正在导致经济衰退风险不断上升。</w:t>
            </w:r>
          </w:p>
          <w:p w14:paraId="0438BDFB" w14:textId="77777777" w:rsidR="003346FE" w:rsidRDefault="006072F2">
            <w:pPr>
              <w:pStyle w:val="12"/>
              <w:widowControl w:val="0"/>
              <w:adjustRightInd w:val="0"/>
              <w:spacing w:line="336" w:lineRule="auto"/>
              <w:ind w:left="0" w:firstLine="480"/>
              <w:rPr>
                <w:rFonts w:ascii="Times New Roman" w:eastAsia="宋体" w:hAnsi="Times New Roman" w:cs="Times New Roman"/>
                <w:color w:val="000000"/>
                <w:szCs w:val="24"/>
                <w:lang w:eastAsia="zh-CN" w:bidi="ar-SA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1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季度，欧元区经济活动小幅提升但整体低迷，综合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 xml:space="preserve"> PMI 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季度均值重返荣枯线上方，服务业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 xml:space="preserve"> PMI 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回暖且消费复苏领先制造业，后者仍在荣枯线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附近。受美关税威胁、德法政治动荡及俄乌谈判波折影响，产能利用率未恢复，企业居民信心受挫，消费投资疲弱且国别分化。劳动力市场稳定，失业率维持低位。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 xml:space="preserve">1 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月贸易顺差大幅缩减，对中国逆差扩大。通胀整体可控，能源价格下降但服务价格粘性强、同比增速高，欧洲央行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 xml:space="preserve"> 1 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月降息并维持宽松。随着对美采取报复性关税，未来经济增长仍存不确定性。</w:t>
            </w:r>
          </w:p>
          <w:p w14:paraId="0FDCFE75" w14:textId="77777777" w:rsidR="003346FE" w:rsidRDefault="006072F2">
            <w:pPr>
              <w:pStyle w:val="12"/>
              <w:widowControl w:val="0"/>
              <w:adjustRightInd w:val="0"/>
              <w:spacing w:line="336" w:lineRule="auto"/>
              <w:ind w:left="0" w:firstLine="480"/>
              <w:rPr>
                <w:rFonts w:ascii="Times New Roman" w:eastAsia="宋体" w:hAnsi="Times New Roman" w:cs="Times New Roman"/>
                <w:color w:val="000000"/>
                <w:szCs w:val="24"/>
                <w:lang w:eastAsia="zh-CN" w:bidi="ar-SA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1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季度，大宗商品价格震荡走弱，环比下跌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10.2%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。需求端受关税战预期和美国衰退风险提升冲击，较为疲弱。石油虽然季度均值高于上季度，但从年初至今震荡下行，中国进口反弹无法抵消美国增速降温和关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税战带来的冲击。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1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季度金属价格先涨后跌，但表现出了需求的结构变化：整体来看，铜强于铝，铝强于铁矿石，体现了经济转型对金属品种需求结构的影响。同时，各类金属下游需求结构也释放出需求向“新质生产力”偏移的信号。</w:t>
            </w:r>
          </w:p>
          <w:p w14:paraId="2C1A91CB" w14:textId="77777777" w:rsidR="003346FE" w:rsidRDefault="006072F2">
            <w:pPr>
              <w:pStyle w:val="12"/>
              <w:widowControl w:val="0"/>
              <w:adjustRightInd w:val="0"/>
              <w:spacing w:line="336" w:lineRule="auto"/>
              <w:ind w:left="0" w:firstLine="480"/>
              <w:rPr>
                <w:rFonts w:ascii="Times New Roman" w:eastAsia="宋体" w:hAnsi="Times New Roman" w:cs="Times New Roman"/>
                <w:color w:val="000000"/>
                <w:szCs w:val="24"/>
                <w:lang w:eastAsia="zh-CN" w:bidi="ar-SA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1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季度，特朗普关税政策引发全球金融市场剧烈动荡，美股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 xml:space="preserve"> VIX 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指数升至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 xml:space="preserve"> 50% 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以上。美元贬值，日元、欧元升值，人民币与印度卢比趋稳。美股下跌，欧股及新兴市场股市先涨后跌，全球主要股市波动显著加剧。美国十年期国债收益率先下行后因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“对等关税”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政策逆转上行，其他经济体长期利率普遍上行。黄金、铜价短期大涨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后，随美债收益率上行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lastRenderedPageBreak/>
              <w:t>及风险资产抛售，黄金价格因平仓压力大跌，美股、欧股一周内跌超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 xml:space="preserve"> 10%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，上证综指跌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 xml:space="preserve"> 6%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。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 xml:space="preserve">TED 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利差微升但仍处低位，美元流动性暂未紧张。美国政策不确定性使美债丧失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“避险首选”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地位，美股或持续震荡下跌。</w:t>
            </w:r>
          </w:p>
          <w:p w14:paraId="1257D092" w14:textId="77777777" w:rsidR="003346FE" w:rsidRDefault="006072F2">
            <w:pPr>
              <w:adjustRightInd w:val="0"/>
              <w:snapToGrid w:val="0"/>
              <w:spacing w:before="240" w:after="0"/>
              <w:ind w:firstLineChars="0" w:firstLine="0"/>
              <w:contextualSpacing/>
              <w:rPr>
                <w:rFonts w:ascii="Times New Roman" w:eastAsia="宋体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sz w:val="28"/>
                <w:szCs w:val="28"/>
                <w:lang w:eastAsia="zh-CN"/>
              </w:rPr>
              <w:t>一、全球经济下行风险显著上升</w:t>
            </w:r>
          </w:p>
          <w:p w14:paraId="4DE930E1" w14:textId="77777777" w:rsidR="003346FE" w:rsidRDefault="006072F2">
            <w:pPr>
              <w:adjustRightInd w:val="0"/>
              <w:snapToGrid w:val="0"/>
              <w:spacing w:after="0"/>
              <w:ind w:firstLine="480"/>
              <w:rPr>
                <w:rFonts w:ascii="Times New Roman" w:eastAsia="宋体" w:hAnsi="Times New Roman" w:cs="Times New Roman"/>
                <w:color w:val="000000"/>
                <w:szCs w:val="24"/>
                <w:lang w:eastAsia="zh-CN" w:bidi="ar-SA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cs="Times New Roman" w:hint="eastAsia"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cs="Times New Roman" w:hint="eastAsia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szCs w:val="24"/>
                <w:lang w:eastAsia="zh-CN"/>
              </w:rPr>
              <w:t>季度，中国外部经济综合</w:t>
            </w:r>
            <w:r>
              <w:rPr>
                <w:rFonts w:ascii="Times New Roman" w:eastAsia="宋体" w:hAnsi="Times New Roman" w:cs="Times New Roman" w:hint="eastAsia"/>
                <w:szCs w:val="24"/>
                <w:lang w:eastAsia="zh-CN"/>
              </w:rPr>
              <w:t>CEEM-PMI</w:t>
            </w:r>
            <w:r>
              <w:rPr>
                <w:rFonts w:ascii="Times New Roman" w:eastAsia="宋体" w:hAnsi="Times New Roman" w:cs="Times New Roman" w:hint="eastAsia"/>
                <w:szCs w:val="24"/>
                <w:lang w:eastAsia="zh-CN"/>
              </w:rPr>
              <w:t>指数季度低于荣枯线。美国经济增长动能趋于减弱，衰退风险上升。欧元区经济活动有所提升，但整体仍呈现较为低迷的态势。日本经济有所降温，并预计继续下滑。印度经济保持稳步增长，巴西经济复苏动能继续转弱，南非经济增长</w:t>
            </w:r>
            <w:r>
              <w:rPr>
                <w:rFonts w:ascii="Times New Roman" w:eastAsia="宋体" w:hAnsi="Times New Roman" w:cs="Times New Roman" w:hint="eastAsia"/>
                <w:szCs w:val="24"/>
                <w:lang w:eastAsia="zh-CN"/>
              </w:rPr>
              <w:t>依然疲弱，俄罗斯经济延续短期韧性。东盟制造业</w:t>
            </w:r>
            <w:r>
              <w:rPr>
                <w:rFonts w:ascii="Times New Roman" w:eastAsia="宋体" w:hAnsi="Times New Roman" w:cs="Times New Roman" w:hint="eastAsia"/>
                <w:szCs w:val="24"/>
                <w:lang w:eastAsia="zh-CN"/>
              </w:rPr>
              <w:t>PMI</w:t>
            </w:r>
            <w:r>
              <w:rPr>
                <w:rFonts w:ascii="Times New Roman" w:eastAsia="宋体" w:hAnsi="Times New Roman" w:cs="Times New Roman" w:hint="eastAsia"/>
                <w:szCs w:val="24"/>
                <w:lang w:eastAsia="zh-CN"/>
              </w:rPr>
              <w:t>整体波动企稳，印尼带动景气回升，区内通胀分化，前沿经济体上行，美元指数走弱，货币与股市分化，展望第</w:t>
            </w:r>
            <w:r>
              <w:rPr>
                <w:rFonts w:ascii="Times New Roman" w:eastAsia="宋体" w:hAnsi="Times New Roman" w:cs="Times New Roman" w:hint="eastAsia"/>
                <w:szCs w:val="24"/>
                <w:lang w:eastAsia="zh-CN"/>
              </w:rPr>
              <w:t>2</w:t>
            </w:r>
            <w:r>
              <w:rPr>
                <w:rFonts w:ascii="Times New Roman" w:eastAsia="宋体" w:hAnsi="Times New Roman" w:cs="Times New Roman" w:hint="eastAsia"/>
                <w:szCs w:val="24"/>
                <w:lang w:eastAsia="zh-CN"/>
              </w:rPr>
              <w:t>季度，脆弱性上升，金融风险加剧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 w:bidi="ar-SA"/>
              </w:rPr>
              <w:t>。</w:t>
            </w:r>
          </w:p>
          <w:p w14:paraId="0604F84A" w14:textId="506A9FB2" w:rsidR="003346FE" w:rsidRDefault="006072F2">
            <w:pPr>
              <w:keepNext/>
              <w:widowControl w:val="0"/>
              <w:adjustRightInd w:val="0"/>
              <w:snapToGrid w:val="0"/>
              <w:spacing w:after="0"/>
              <w:ind w:firstLine="422"/>
              <w:jc w:val="center"/>
              <w:rPr>
                <w:rFonts w:ascii="Times New Roman" w:eastAsia="宋体" w:hAnsi="Times New Roman" w:cs="Times New Roman"/>
                <w:bCs/>
                <w:color w:val="000000"/>
                <w:sz w:val="21"/>
                <w:szCs w:val="24"/>
                <w:lang w:eastAsia="zh-CN" w:bidi="ar-SA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图表</w:t>
            </w:r>
            <w:r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1"/>
                <w:szCs w:val="21"/>
                <w:lang w:eastAsia="zh-CN"/>
              </w:rPr>
              <w:fldChar w:fldCharType="begin"/>
            </w:r>
            <w:r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1"/>
                <w:szCs w:val="21"/>
                <w:lang w:eastAsia="zh-CN"/>
              </w:rPr>
              <w:instrText xml:space="preserve"> SEQ </w:instrTex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instrText>图表</w:instrText>
            </w:r>
            <w:r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1"/>
                <w:szCs w:val="21"/>
                <w:lang w:eastAsia="zh-CN"/>
              </w:rPr>
              <w:instrText xml:space="preserve"> \* ARABIC </w:instrText>
            </w:r>
            <w:r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1"/>
                <w:szCs w:val="21"/>
                <w:lang w:eastAsia="zh-CN"/>
              </w:rPr>
              <w:fldChar w:fldCharType="separate"/>
            </w:r>
            <w:r w:rsidR="000D00F9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21"/>
                <w:szCs w:val="21"/>
                <w:lang w:eastAsia="zh-CN"/>
              </w:rPr>
              <w:t>1</w:t>
            </w:r>
            <w:r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1"/>
                <w:szCs w:val="21"/>
                <w:lang w:eastAsia="zh-CN"/>
              </w:rPr>
              <w:fldChar w:fldCharType="end"/>
            </w:r>
            <w:r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1"/>
                <w:szCs w:val="21"/>
                <w:lang w:eastAsia="zh-CN"/>
              </w:rPr>
              <w:t xml:space="preserve">  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中国外部经济综合</w:t>
            </w:r>
            <w:r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1"/>
                <w:szCs w:val="21"/>
                <w:lang w:eastAsia="zh-CN"/>
              </w:rPr>
              <w:t>CEEM – PMI</w:t>
            </w:r>
          </w:p>
          <w:p w14:paraId="07B5EC7A" w14:textId="77777777" w:rsidR="003346FE" w:rsidRDefault="006072F2">
            <w:pPr>
              <w:adjustRightInd w:val="0"/>
              <w:snapToGrid w:val="0"/>
              <w:spacing w:after="0"/>
              <w:ind w:firstLineChars="0" w:firstLine="0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华文细黑" w:cs="Times New Roman"/>
                <w:bCs/>
                <w:sz w:val="21"/>
                <w:szCs w:val="18"/>
                <w:lang w:eastAsia="zh-CN"/>
              </w:rPr>
              <w:t xml:space="preserve"> </w:t>
            </w:r>
            <w:r>
              <w:rPr>
                <w:noProof/>
                <w:lang w:eastAsia="zh-CN" w:bidi="ar-SA"/>
              </w:rPr>
              <w:drawing>
                <wp:inline distT="0" distB="0" distL="0" distR="0" wp14:anchorId="6DB6F303" wp14:editId="1E95AFBB">
                  <wp:extent cx="5683250" cy="3474720"/>
                  <wp:effectExtent l="0" t="0" r="0" b="0"/>
                  <wp:docPr id="117973181" name="图表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  <w:p w14:paraId="693DC3A2" w14:textId="77777777" w:rsidR="003346FE" w:rsidRDefault="003346FE">
            <w:pPr>
              <w:adjustRightInd w:val="0"/>
              <w:snapToGrid w:val="0"/>
              <w:spacing w:after="0"/>
              <w:ind w:firstLineChars="0" w:firstLine="0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1"/>
                <w:szCs w:val="21"/>
                <w:lang w:eastAsia="zh-CN"/>
              </w:rPr>
            </w:pPr>
          </w:p>
          <w:p w14:paraId="01870A5A" w14:textId="77777777" w:rsidR="003346FE" w:rsidRDefault="006072F2">
            <w:pPr>
              <w:adjustRightInd w:val="0"/>
              <w:snapToGrid w:val="0"/>
              <w:spacing w:after="0"/>
              <w:ind w:firstLine="482"/>
              <w:contextualSpacing/>
              <w:rPr>
                <w:rFonts w:ascii="Times New Roman" w:eastAsia="宋体" w:hAnsi="Times New Roman" w:cs="Times New Roman"/>
                <w:b/>
                <w:kern w:val="0"/>
                <w:szCs w:val="24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kern w:val="0"/>
                <w:szCs w:val="24"/>
                <w:lang w:eastAsia="zh-CN"/>
              </w:rPr>
              <w:t>美国制造业</w:t>
            </w:r>
            <w:r>
              <w:rPr>
                <w:rFonts w:ascii="Times New Roman" w:eastAsia="宋体" w:hAnsi="Times New Roman" w:cs="Times New Roman" w:hint="eastAsia"/>
                <w:b/>
                <w:kern w:val="0"/>
                <w:szCs w:val="24"/>
                <w:lang w:eastAsia="zh-CN"/>
              </w:rPr>
              <w:t>PMI</w:t>
            </w:r>
            <w:r>
              <w:rPr>
                <w:rFonts w:ascii="Times New Roman" w:eastAsia="宋体" w:hAnsi="Times New Roman" w:cs="Times New Roman" w:hint="eastAsia"/>
                <w:b/>
                <w:kern w:val="0"/>
                <w:szCs w:val="24"/>
                <w:lang w:eastAsia="zh-CN"/>
              </w:rPr>
              <w:t>再现萎缩，非制造业</w:t>
            </w:r>
            <w:r>
              <w:rPr>
                <w:rFonts w:ascii="Times New Roman" w:eastAsia="宋体" w:hAnsi="Times New Roman" w:cs="Times New Roman" w:hint="eastAsia"/>
                <w:b/>
                <w:kern w:val="0"/>
                <w:szCs w:val="24"/>
                <w:lang w:eastAsia="zh-CN"/>
              </w:rPr>
              <w:t>PMI</w:t>
            </w:r>
            <w:r>
              <w:rPr>
                <w:rFonts w:ascii="Times New Roman" w:eastAsia="宋体" w:hAnsi="Times New Roman" w:cs="Times New Roman" w:hint="eastAsia"/>
                <w:b/>
                <w:kern w:val="0"/>
                <w:szCs w:val="24"/>
                <w:lang w:eastAsia="zh-CN"/>
              </w:rPr>
              <w:t>濒临衰退。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制造业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PMI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在今年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月和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月上升至荣枯线之上后，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月再次陷入萎缩。其中，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月，新订单指数大幅降至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45.2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，就业指数大幅降至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44.7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。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月，非制造业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PMI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降至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50.8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，处于衰退临界点，反映近年来支持美国经济扩张的主要力量服务业也趋于疲软。</w:t>
            </w:r>
          </w:p>
          <w:p w14:paraId="34A4D2C6" w14:textId="19339FC6" w:rsidR="003346FE" w:rsidRDefault="006072F2">
            <w:pPr>
              <w:adjustRightInd w:val="0"/>
              <w:snapToGrid w:val="0"/>
              <w:spacing w:after="0"/>
              <w:ind w:firstLine="482"/>
              <w:contextualSpacing/>
              <w:rPr>
                <w:rFonts w:ascii="Times New Roman" w:eastAsia="宋体" w:hAnsi="Times New Roman" w:cs="Times New Roman"/>
                <w:bCs/>
                <w:kern w:val="0"/>
                <w:szCs w:val="24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kern w:val="0"/>
                <w:szCs w:val="24"/>
                <w:lang w:eastAsia="zh-CN"/>
              </w:rPr>
              <w:t>美国个人收入与支出仍具韧性。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月至</w:t>
            </w:r>
            <w:bookmarkStart w:id="2" w:name="_GoBack"/>
            <w:bookmarkEnd w:id="2"/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月，美国个人收入增速分别为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4.2%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lastRenderedPageBreak/>
              <w:t>4.6%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，个人消费支出增速为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5.4%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5.3%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。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月至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月，美国轻型机动车销量环比增长，分别为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-7.1%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、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2.6%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11.1%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。与去年四季度相比，美国汽车库存略有下降，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2024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年四季度库存均值为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25.3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万辆，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至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月降至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24.5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万和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23.7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万辆。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至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月，美国零售销售额环比涨幅分别为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-1.2%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0.2%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，核心零售销售额环比涨幅为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-0.8%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0.8%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。整体来看，美国零售销售增速显著放缓。</w:t>
            </w:r>
          </w:p>
          <w:p w14:paraId="3236B2A0" w14:textId="77777777" w:rsidR="003346FE" w:rsidRDefault="006072F2">
            <w:pPr>
              <w:adjustRightInd w:val="0"/>
              <w:snapToGrid w:val="0"/>
              <w:spacing w:after="0"/>
              <w:ind w:firstLine="482"/>
              <w:contextualSpacing/>
              <w:rPr>
                <w:rFonts w:ascii="Times New Roman" w:eastAsia="宋体" w:hAnsi="Times New Roman" w:cs="Times New Roman"/>
                <w:bCs/>
                <w:kern w:val="0"/>
                <w:szCs w:val="24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kern w:val="0"/>
                <w:szCs w:val="24"/>
                <w:lang w:eastAsia="zh-CN"/>
              </w:rPr>
              <w:t>美国房地产市场继续筑底，企业补库存速度放缓。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月至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月，美国新建住房销售环比增速为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-6.9%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1.8%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，成屋销售环比增速为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-4.7%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4.2%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。新屋开工环比增速波动，分别为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-11.5%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11.2%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。新建住房价格保持震荡，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月中位价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41.4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万美元，成屋库存稳定。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2022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7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月起，美国进入去库存周期，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月企业库存增速为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2.3%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，补库存速度放缓。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1-2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月，美国贸易逆差创纪录扩大至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1307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1267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亿美元，创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1992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年以来最高纪录，受特朗普加征关税政策预期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的影响，美国企业抢进口行为明显。</w:t>
            </w:r>
          </w:p>
          <w:p w14:paraId="776F680B" w14:textId="77777777" w:rsidR="003346FE" w:rsidRDefault="006072F2">
            <w:pPr>
              <w:adjustRightInd w:val="0"/>
              <w:snapToGrid w:val="0"/>
              <w:spacing w:after="0"/>
              <w:ind w:firstLine="482"/>
              <w:contextualSpacing/>
              <w:rPr>
                <w:rFonts w:ascii="Times New Roman" w:eastAsia="宋体" w:hAnsi="Times New Roman" w:cs="Times New Roman"/>
                <w:bCs/>
                <w:kern w:val="0"/>
                <w:szCs w:val="24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kern w:val="0"/>
                <w:szCs w:val="24"/>
                <w:lang w:eastAsia="zh-CN"/>
              </w:rPr>
              <w:t>美国失业率小幅上升，劳动力市场平衡中趋软。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月至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月，美国失业率小幅上升至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4.0%-4.2%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，新增非农就业逐月增长，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月为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11.1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万，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月为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22.8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万。劳动参与率略微波动，平均时薪同比增速从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4.0%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降至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3.8%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。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月，离职率升至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，职位空缺率降至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4.5%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，职位空缺数与失业人数比值为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1.0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，显示劳动力市场趋于平衡但显现疲态。值得注意的是，联邦政府部门就业出现负增长，预示特朗普政府裁员政策可能带来负面影响，且大规模驱逐非法移民可能引发劳动力供给不足。</w:t>
            </w:r>
          </w:p>
          <w:p w14:paraId="07F7743C" w14:textId="77777777" w:rsidR="003346FE" w:rsidRDefault="006072F2">
            <w:pPr>
              <w:adjustRightInd w:val="0"/>
              <w:snapToGrid w:val="0"/>
              <w:spacing w:after="0"/>
              <w:ind w:firstLine="482"/>
              <w:contextualSpacing/>
              <w:rPr>
                <w:rFonts w:ascii="Times New Roman" w:eastAsia="宋体" w:hAnsi="Times New Roman" w:cs="Times New Roman"/>
                <w:bCs/>
                <w:kern w:val="0"/>
                <w:szCs w:val="24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kern w:val="0"/>
                <w:szCs w:val="24"/>
                <w:lang w:eastAsia="zh-CN"/>
              </w:rPr>
              <w:t>美国通胀下行，</w:t>
            </w:r>
            <w:r>
              <w:rPr>
                <w:rFonts w:ascii="Times New Roman" w:eastAsia="宋体" w:hAnsi="Times New Roman" w:cs="Times New Roman" w:hint="eastAsia"/>
                <w:b/>
                <w:kern w:val="0"/>
                <w:szCs w:val="24"/>
                <w:lang w:eastAsia="zh-CN"/>
              </w:rPr>
              <w:t>但上行风险并未解除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。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月至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月，美国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CPI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同比涨幅分别为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3.3%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3.1%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，环比涨幅分别为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0.5%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0.2%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；核心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CPI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同比涨幅稳定在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3%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2.8%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，环比涨幅分别为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0.4%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0.2%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。展望未来，一方面“对等关税”政策或导致美国进口成本上升，引致通胀上行；另一方面，原油价格下降，以及美国经济增速放缓导致需求减弱，又驱使通胀下行。</w:t>
            </w:r>
          </w:p>
          <w:p w14:paraId="3B32D1D4" w14:textId="77777777" w:rsidR="003346FE" w:rsidRDefault="006072F2">
            <w:pPr>
              <w:adjustRightInd w:val="0"/>
              <w:snapToGrid w:val="0"/>
              <w:spacing w:after="0"/>
              <w:ind w:firstLine="482"/>
              <w:contextualSpacing/>
              <w:rPr>
                <w:rFonts w:ascii="Times New Roman" w:eastAsia="宋体" w:hAnsi="Times New Roman" w:cs="Times New Roman"/>
                <w:bCs/>
                <w:szCs w:val="24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4"/>
                <w:lang w:eastAsia="zh-CN"/>
              </w:rPr>
              <w:t>欧洲</w:t>
            </w:r>
            <w:r>
              <w:rPr>
                <w:rFonts w:ascii="Times New Roman" w:eastAsia="宋体" w:hAnsi="Times New Roman" w:cs="Times New Roman" w:hint="eastAsia"/>
                <w:b/>
                <w:szCs w:val="24"/>
                <w:lang w:eastAsia="zh-CN"/>
              </w:rPr>
              <w:t>PMI</w:t>
            </w:r>
            <w:r>
              <w:rPr>
                <w:rFonts w:ascii="Times New Roman" w:eastAsia="宋体" w:hAnsi="Times New Roman" w:cs="Times New Roman" w:hint="eastAsia"/>
                <w:b/>
                <w:szCs w:val="24"/>
                <w:lang w:eastAsia="zh-CN"/>
              </w:rPr>
              <w:t>震荡中小幅抬升。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季度，欧元区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20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国综合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PMI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小幅波动，由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月的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50.2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上升至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月的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50.9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，季度均值为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50.6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，较前一季度上升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1.3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个点，回到荣枯线上方。制造业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PMI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虽仍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低于荣枯线，但景气度有所改善，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月升至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48.6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。服务业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PMI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维持在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50.0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以上，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月升至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51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，季度均值为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50.8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，与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2024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年第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4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季度持平。法国经济在巴黎奥运会后恢复，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月综合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PMI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为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48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，服务业和制造业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PMI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也有所提升，但仍处于收缩区间。德国经济同样有所回升，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月综合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PMI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为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51.3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，服务业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PMI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略有下滑，但总体向好，季度均值为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50.7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。工业生产方面，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月欧元区工业产出环比增长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0.8%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，但产能利用率为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77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，较前值下降，表明经济产能未完全恢复。</w:t>
            </w:r>
          </w:p>
          <w:p w14:paraId="27A8760D" w14:textId="77777777" w:rsidR="003346FE" w:rsidRDefault="006072F2">
            <w:pPr>
              <w:adjustRightInd w:val="0"/>
              <w:snapToGrid w:val="0"/>
              <w:spacing w:after="0"/>
              <w:ind w:firstLine="482"/>
              <w:contextualSpacing/>
              <w:rPr>
                <w:rFonts w:ascii="Times New Roman" w:eastAsia="宋体" w:hAnsi="Times New Roman" w:cs="Times New Roman"/>
                <w:b/>
                <w:color w:val="000000"/>
                <w:szCs w:val="24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  <w:szCs w:val="24"/>
                <w:lang w:eastAsia="zh-CN"/>
              </w:rPr>
              <w:lastRenderedPageBreak/>
              <w:t>欧洲通胀回升至目标上方。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月，欧元区消费者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调和价格指数（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HICP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）同比增长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2.18%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，较前月下降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0.14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个百分点，主要受能源价格下降影响，德国和西班牙等主要经济体通胀得到控制。能源价格指数由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月的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1.89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降至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月的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-0.74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。剔除食品和能源价格后，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月核心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HICP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增速为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2.4%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，较前月下降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0.2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个百分点，服务业价格增速降至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3.42%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。降低服务业通胀是未来核心通胀走低的关键。</w:t>
            </w:r>
          </w:p>
          <w:p w14:paraId="04C5A7DE" w14:textId="77777777" w:rsidR="003346FE" w:rsidRDefault="006072F2">
            <w:pPr>
              <w:adjustRightInd w:val="0"/>
              <w:snapToGrid w:val="0"/>
              <w:spacing w:after="0"/>
              <w:ind w:firstLine="482"/>
              <w:contextualSpacing/>
              <w:rPr>
                <w:rFonts w:ascii="Times New Roman" w:eastAsia="宋体" w:hAnsi="Times New Roman" w:cs="Times New Roman"/>
                <w:color w:val="000000"/>
                <w:szCs w:val="24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szCs w:val="24"/>
                <w:lang w:eastAsia="zh-CN"/>
              </w:rPr>
              <w:t>欧洲失业率继续稳定在低位。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2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月，欧元区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20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国经季节性调整后的失业率为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6.1%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，与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月下降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0.1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个百分点，表明欧元区劳动力市场表现依旧良好。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2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月欧元区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20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国失业人数为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1058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万，比前一个月减少了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70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万人，较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2023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年同期减少了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64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万人。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2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月欧元区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20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国青年失业率为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14.2%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，较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月上升了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0.1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个百分点。</w:t>
            </w:r>
          </w:p>
          <w:p w14:paraId="2DC5ACA4" w14:textId="77777777" w:rsidR="003346FE" w:rsidRDefault="006072F2">
            <w:pPr>
              <w:adjustRightInd w:val="0"/>
              <w:snapToGrid w:val="0"/>
              <w:spacing w:after="0"/>
              <w:ind w:firstLine="482"/>
              <w:contextualSpacing/>
              <w:rPr>
                <w:rFonts w:ascii="Times New Roman" w:eastAsia="宋体" w:hAnsi="Times New Roman" w:cs="Times New Roman"/>
                <w:color w:val="000000"/>
                <w:szCs w:val="24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  <w:szCs w:val="24"/>
                <w:lang w:eastAsia="zh-CN"/>
              </w:rPr>
              <w:t>欧洲消费者信心持续下滑</w:t>
            </w:r>
            <w:r>
              <w:rPr>
                <w:rFonts w:ascii="Times New Roman" w:eastAsia="宋体" w:hAnsi="Times New Roman" w:cs="Times New Roman"/>
                <w:b/>
                <w:color w:val="000000"/>
                <w:szCs w:val="24"/>
                <w:lang w:eastAsia="zh-CN"/>
              </w:rPr>
              <w:t>。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季度，欧元区消费者信心持续下滑，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月消费者信心指数降至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-14.5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，较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2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月下降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0.9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点。德国消费者信心略有回升，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4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月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GFK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消费者信心先行指数修正后为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-24.5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，但仍处低位。法国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月消费者信心指数为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-14.7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，较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2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月下降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1.8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点，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Insee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综合消费者信心指数为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92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，低于预期的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94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。特别是服务业信心大幅下降，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月服务业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信心指数为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-4.6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，较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2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月下降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3.3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点。尽管消费者信心下滑，消费支出仍保持正增长。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2024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年第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4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季度，欧元区最终消费支出同比增长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4.04%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，其中家庭消费支出增长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3.51%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，政府消费支出增长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5.28%</w:t>
            </w:r>
            <w:r>
              <w:rPr>
                <w:rFonts w:ascii="Times New Roman" w:eastAsia="宋体" w:hAnsi="Times New Roman" w:cs="Times New Roman" w:hint="eastAsia"/>
                <w:bCs/>
                <w:color w:val="000000"/>
                <w:szCs w:val="24"/>
                <w:lang w:eastAsia="zh-CN"/>
              </w:rPr>
              <w:t>。尽管经济复苏乏力，消费支出仍显示出一定的韧性。</w:t>
            </w:r>
          </w:p>
          <w:p w14:paraId="137CE3E0" w14:textId="77777777" w:rsidR="003346FE" w:rsidRDefault="006072F2">
            <w:pPr>
              <w:adjustRightInd w:val="0"/>
              <w:snapToGrid w:val="0"/>
              <w:spacing w:after="0"/>
              <w:ind w:firstLine="482"/>
              <w:contextualSpacing/>
              <w:rPr>
                <w:rFonts w:ascii="Times New Roman" w:eastAsia="宋体" w:hAnsi="Times New Roman" w:cs="Times New Roman"/>
                <w:color w:val="000000"/>
                <w:szCs w:val="24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szCs w:val="24"/>
                <w:lang w:eastAsia="zh-CN"/>
              </w:rPr>
              <w:t>日本经济有所降温，并预计继续下滑。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季度，日本经济继续承压。制造业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PMI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表现疲弱，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月到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月分别为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48.7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、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49.0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48.4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，均值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48.7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，较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2024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年第四季度的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49.3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有所下行。服务业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PMI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则有所反弹，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月到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月分别为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53.0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、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53.7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50.0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，均值为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52.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2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，较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2024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年第四季度的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50.4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上升。整体呈现制造业疲软、服务业回升的局面。然而，随着美国关税政策的落地，第二季度日本经济可能面临更大压力。根据日本内阁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月公布的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GDP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数据，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2024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年第四季度实际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GDP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增速为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1.1%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，为当年最佳季度增速。私人部门消费同比增长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1.1%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，较第三季度的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1.0%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有所上升，显示“春斗”效果显现。日本就业情况相对稳定，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月至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月的失业率分别为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2.46%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、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2.48%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2.41%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，平均为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2.45%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4"/>
                <w:lang w:eastAsia="zh-CN"/>
              </w:rPr>
              <w:t>。</w:t>
            </w:r>
          </w:p>
          <w:p w14:paraId="393EC91D" w14:textId="77777777" w:rsidR="003346FE" w:rsidRDefault="006072F2">
            <w:pPr>
              <w:adjustRightInd w:val="0"/>
              <w:snapToGrid w:val="0"/>
              <w:spacing w:after="0"/>
              <w:ind w:firstLine="482"/>
              <w:contextualSpacing/>
              <w:rPr>
                <w:rFonts w:ascii="Times New Roman" w:eastAsia="宋体" w:hAnsi="Times New Roman" w:cs="Times New Roman"/>
                <w:b/>
                <w:szCs w:val="24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4"/>
                <w:lang w:eastAsia="zh-CN"/>
              </w:rPr>
              <w:t>日本消费回落，机械订单结构性明显。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年，日本民众实际收入增速进入负值，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月和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2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月分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别为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-1.1%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-2.3%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，显著低于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2024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年第四季度。然而，名义收入仍保持正增长，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2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月增速为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1.9%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。尽管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2024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12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月消费支出同比增速为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2.7%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，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年初消费支出再次疲软，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月和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2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月的增速分别为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0.8%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-0.5%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。食品价格上涨导致实际消费下降，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2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月食品名义消费增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2.8%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，但实际消费减少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4.5%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。特别是“谷类”食品的实际消费下降显著，米和面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lastRenderedPageBreak/>
              <w:t>包的消费金额分别下降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2.2%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8.9%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。与此同时，居住、家具和保健医疗等消费品的实际支出均显著下降。机械订单方面，虽然整体订单增长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9.8%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，但私人部门订单，尤其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是制造业和非制造业的需求较弱，公共部门和外需情况较好，订单增速分别为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59.7%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1.9%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。</w:t>
            </w:r>
          </w:p>
          <w:p w14:paraId="38B634FA" w14:textId="613021BD" w:rsidR="003346FE" w:rsidRDefault="006072F2">
            <w:pPr>
              <w:adjustRightInd w:val="0"/>
              <w:snapToGrid w:val="0"/>
              <w:spacing w:after="0"/>
              <w:ind w:firstLine="482"/>
              <w:rPr>
                <w:rFonts w:ascii="Times New Roman" w:eastAsia="宋体" w:hAnsi="Times New Roman" w:cs="Times New Roman"/>
                <w:bCs/>
                <w:color w:val="000000" w:themeColor="text1"/>
                <w:szCs w:val="24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 w:themeColor="text1"/>
                <w:szCs w:val="24"/>
                <w:lang w:eastAsia="zh-CN"/>
              </w:rPr>
              <w:t>日本货币金融政策收紧之后按兵不动，日银继续缩表。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月至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月，日本央行共召开两次货币政策会议。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月会议上，央行将无担保隔夜拆借利率从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0.25%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升至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0.5%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，被视为“加息”。尽管一名委员持反对意见，但其理由较为模糊，暗示后续加息可能力度不大。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月会议决策与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月相同，无显著调整。资产负债表方面，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年第一季度日本央行继续缩表，至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月保有资产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729.2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万亿日元，较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2024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12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月和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月有所减少，几乎所有资产都有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减持动作。物价方面，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月和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2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月日本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CPI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同比增速分别为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4.0%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3.7%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，通胀问题回升。除生鲜食品外的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CPI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同比增速分别为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3.2%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3.0%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；核心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CPI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为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2.5%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2.6%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。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2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月“食品”价格涨幅高达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7.6%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，其中“生鲜蔬菜”涨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28%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，“粳米”涨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81.4%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。</w:t>
            </w:r>
          </w:p>
          <w:p w14:paraId="411B33AF" w14:textId="0E8B4BE5" w:rsidR="003346FE" w:rsidRDefault="006072F2">
            <w:pPr>
              <w:adjustRightInd w:val="0"/>
              <w:snapToGrid w:val="0"/>
              <w:spacing w:after="0"/>
              <w:ind w:firstLine="482"/>
              <w:rPr>
                <w:rFonts w:ascii="Times New Roman" w:eastAsia="宋体" w:hAnsi="Times New Roman" w:cs="Times New Roman"/>
                <w:bCs/>
                <w:color w:val="000000" w:themeColor="text1"/>
                <w:szCs w:val="24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 w:themeColor="text1"/>
                <w:szCs w:val="24"/>
                <w:lang w:eastAsia="zh-CN"/>
              </w:rPr>
              <w:t>日本股指下跌，日元兑美元上涨，</w:t>
            </w:r>
            <w:r>
              <w:rPr>
                <w:rFonts w:ascii="Times New Roman" w:eastAsia="宋体" w:hAnsi="Times New Roman" w:cs="Times New Roman" w:hint="eastAsia"/>
                <w:b/>
                <w:color w:val="000000" w:themeColor="text1"/>
                <w:szCs w:val="24"/>
                <w:lang w:eastAsia="zh-CN"/>
              </w:rPr>
              <w:t>10</w:t>
            </w:r>
            <w:r>
              <w:rPr>
                <w:rFonts w:ascii="Times New Roman" w:eastAsia="宋体" w:hAnsi="Times New Roman" w:cs="Times New Roman" w:hint="eastAsia"/>
                <w:b/>
                <w:color w:val="000000" w:themeColor="text1"/>
                <w:szCs w:val="24"/>
                <w:lang w:eastAsia="zh-CN"/>
              </w:rPr>
              <w:t>年期国债收益率上行后大幅震荡。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季度，日本金融市场呈现明显趋势。日本股市整体下跌，东京日经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225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指数从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月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6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日的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39455.42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点开始横盘，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2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月下旬后开始下跌，最终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月末收于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17299.29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点，季度下跌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10.42%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。日元对美元汇率上涨，从年初的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157.4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日元兑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美元下跌至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月末的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150.0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日元兑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美元，整体较为强势。日本国债收益率在上行后，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月末和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4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4"/>
                <w:lang w:eastAsia="zh-CN"/>
              </w:rPr>
              <w:t>月上旬出现大幅震荡。</w:t>
            </w:r>
          </w:p>
          <w:p w14:paraId="4B9AAABF" w14:textId="77777777" w:rsidR="003346FE" w:rsidRDefault="006072F2">
            <w:pPr>
              <w:adjustRightInd w:val="0"/>
              <w:snapToGrid w:val="0"/>
              <w:spacing w:after="0"/>
              <w:ind w:firstLine="482"/>
              <w:rPr>
                <w:rFonts w:ascii="Times New Roman" w:eastAsia="宋体" w:hAnsi="Times New Roman" w:cs="Times New Roman"/>
                <w:bCs/>
                <w:kern w:val="0"/>
                <w:szCs w:val="24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kern w:val="0"/>
                <w:szCs w:val="24"/>
                <w:lang w:eastAsia="zh-CN"/>
              </w:rPr>
              <w:t>东盟区内主要经济体的经济增长回升。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2024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年，东盟六国经济增速预计回升。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IMF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预测显示，这得益于四方面因素：一是通胀下行促进私人消费和投资增长，菲律宾、新加坡支出增速显著；二是国际旅游业复苏，中国游客激增，东盟旅游收入恢复至疫情前水平，服务出口增长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8.4%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；三是全球半导体行业上行和供应链改善推动出口增长，越南、马来西亚表现突出；四是各国政策支持经济和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房地产稳定。越南全年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GDP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增速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6.5%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，超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IMF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预测，美国需求带动出口和制造业强劲增长。新加坡全年增速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4%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，制造业和外需驱动经济超预期增长。</w:t>
            </w:r>
          </w:p>
          <w:p w14:paraId="079549FE" w14:textId="77777777" w:rsidR="003346FE" w:rsidRDefault="006072F2">
            <w:pPr>
              <w:adjustRightInd w:val="0"/>
              <w:snapToGrid w:val="0"/>
              <w:spacing w:after="0"/>
              <w:ind w:firstLine="482"/>
              <w:rPr>
                <w:rFonts w:ascii="Times New Roman" w:eastAsia="宋体" w:hAnsi="Times New Roman" w:cs="Times New Roman"/>
                <w:bCs/>
                <w:kern w:val="0"/>
                <w:szCs w:val="24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kern w:val="0"/>
                <w:szCs w:val="24"/>
                <w:lang w:eastAsia="zh-CN"/>
              </w:rPr>
              <w:t>东盟区内经济体经济景气指数波动企稳。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季度，东盟整体制造业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PMI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在荣枯线之上，整体波动企稳。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1-3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月东盟制造业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PMI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读数分别为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50.4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、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51.5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50.8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，季度平均读数为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50.9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，较第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4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季度上升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0.2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。季度数据来看，东盟制造业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PMI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上行主要由印尼带动，印尼第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季度制造业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PMI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读数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52.7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，较第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4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季度上升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2.7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。其余经济体季度数据均落在荣枯线附近，月度数据略有波动，但变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动幅度较小。</w:t>
            </w:r>
          </w:p>
          <w:p w14:paraId="05443845" w14:textId="77777777" w:rsidR="003346FE" w:rsidRDefault="006072F2">
            <w:pPr>
              <w:adjustRightInd w:val="0"/>
              <w:snapToGrid w:val="0"/>
              <w:spacing w:after="0"/>
              <w:ind w:firstLine="482"/>
              <w:rPr>
                <w:rFonts w:ascii="Times New Roman" w:eastAsia="宋体" w:hAnsi="Times New Roman" w:cs="Times New Roman"/>
                <w:bCs/>
                <w:kern w:val="0"/>
                <w:szCs w:val="24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kern w:val="0"/>
                <w:szCs w:val="24"/>
                <w:lang w:eastAsia="zh-CN"/>
              </w:rPr>
              <w:t>东盟通胀在本季度出现分化。前沿经济体通货膨胀有上行态势，部分内需经济体要警</w:t>
            </w:r>
            <w:r>
              <w:rPr>
                <w:rFonts w:ascii="Times New Roman" w:eastAsia="宋体" w:hAnsi="Times New Roman" w:cs="Times New Roman" w:hint="eastAsia"/>
                <w:b/>
                <w:kern w:val="0"/>
                <w:szCs w:val="24"/>
                <w:lang w:eastAsia="zh-CN"/>
              </w:rPr>
              <w:lastRenderedPageBreak/>
              <w:t>惕进入紧缩区间。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至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月，越南和韩国的通货膨胀呈现小幅反弹。越南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CPI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同比增速分别为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3.6%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、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2.9%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3.1%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，高于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2024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年第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4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季度均值，主要受到医药保健和房屋建筑材料价格上涨的推动。韩国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CPI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也有所回升，分别为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2.0%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、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1.9%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2.1%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，高于全年通胀预测，主要受蔬菜、水果等产品价格上涨影响。印度尼西亚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CPI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在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月降至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0.8%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月更是出现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-0.1%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的通货紧缩，主要受电费折扣和部分商品价格放缓影响。新加坡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、菲律宾和马来西亚的通胀继续下行，新加坡降幅较大，菲律宾和马来西亚下降较缓。泰国通货膨胀略有上升，但仍维持在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以下。</w:t>
            </w:r>
          </w:p>
          <w:p w14:paraId="252F5BE0" w14:textId="77777777" w:rsidR="003346FE" w:rsidRDefault="006072F2">
            <w:pPr>
              <w:adjustRightInd w:val="0"/>
              <w:snapToGrid w:val="0"/>
              <w:spacing w:after="0"/>
              <w:ind w:firstLine="482"/>
              <w:rPr>
                <w:rFonts w:ascii="Times New Roman" w:eastAsia="宋体" w:hAnsi="Times New Roman" w:cs="Times New Roman"/>
                <w:bCs/>
                <w:kern w:val="0"/>
                <w:szCs w:val="24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kern w:val="0"/>
                <w:szCs w:val="24"/>
                <w:lang w:eastAsia="zh-CN"/>
              </w:rPr>
              <w:t>东盟区内货币和股市走势出现分化。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季度，美元指数贬值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3.9%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，区域内货币走势分化，但波动幅度较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2024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年第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和第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4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季度明显下降。印度尼西亚和越南货币贬值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2.5%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2.1%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，新加坡货币在美元弱势下升值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1.6%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。马来西亚、泰国、韩国和菲律宾货币小幅升值，幅度未超过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。股票市场表现亦分化，前沿经济体如新加坡、韩国和越南股市上涨，新加坡海峡指数、韩国综合指数和胡志明指数分别上涨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4.9%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、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3.4%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2.7%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。泰国和印尼股市下行显著，泰国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SET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指数跌幅超过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17.29%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，印尼雅加达综合指数下跌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8%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。马来西亚吉隆坡指数和菲律宾马尼拉综合指数分别下跌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6.2%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6%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。总体而言，新加坡和韩国货币及股市表现稳定，越南和泰国在单一市场表现较差，印尼则在汇市和股市双双下跌。</w:t>
            </w:r>
          </w:p>
          <w:p w14:paraId="24E46BAE" w14:textId="77777777" w:rsidR="003346FE" w:rsidRDefault="006072F2">
            <w:pPr>
              <w:adjustRightInd w:val="0"/>
              <w:snapToGrid w:val="0"/>
              <w:spacing w:after="0"/>
              <w:ind w:firstLine="482"/>
              <w:contextualSpacing/>
              <w:rPr>
                <w:rFonts w:ascii="Times New Roman" w:eastAsia="宋体" w:hAnsi="Times New Roman" w:cs="Times New Roman"/>
                <w:bCs/>
                <w:kern w:val="0"/>
                <w:szCs w:val="24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kern w:val="0"/>
                <w:szCs w:val="24"/>
                <w:lang w:eastAsia="zh-CN"/>
              </w:rPr>
              <w:t>金砖四国经济增长总体延续上季度增长态势，俄罗斯经济短期韧性持续，景气度有所下降。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季度，俄罗斯经济同比增速为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3.8%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，高于上季度的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3.1%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。消费和投资增速分别为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5.9%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6.4%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，均有所提升，净出口也同比增加，推动经济增长。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2024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11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月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-20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25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月，俄罗斯商品贸易出口增速显著回升，贸易差额转正。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1-3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月，综合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PMI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呈现小幅下降，制造业和服务业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PMI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分别为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48.2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50.1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。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2024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年财政收入为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36.7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万亿卢布，同比增长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41.4%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，但财政赤字加大。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1-2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月失业率小幅升至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2.4%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。国际货币基金组织预测俄罗斯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年增速为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1.4%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  <w:lang w:eastAsia="zh-CN"/>
              </w:rPr>
              <w:t>。</w:t>
            </w:r>
          </w:p>
          <w:p w14:paraId="6A03BABD" w14:textId="77777777" w:rsidR="003346FE" w:rsidRDefault="006072F2">
            <w:pPr>
              <w:adjustRightInd w:val="0"/>
              <w:snapToGrid w:val="0"/>
              <w:spacing w:after="0"/>
              <w:ind w:firstLine="482"/>
              <w:contextualSpacing/>
              <w:rPr>
                <w:rFonts w:ascii="Times New Roman" w:eastAsia="宋体" w:hAnsi="Times New Roman" w:cs="Times New Roman"/>
                <w:b/>
                <w:szCs w:val="24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4"/>
                <w:lang w:eastAsia="zh-CN"/>
              </w:rPr>
              <w:t>印度经济继续稳步增长，货物贸易逆差同比扩大。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季度，印度经济同比增长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6.2%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，高于第三季度的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5.6%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。其中，私人消费和投资分别同比增长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6.9%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5.7%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。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1-3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月，印度综合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PMI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分别为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57.7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、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60.6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、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58.6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，显示经济景气度较高。制造业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PMI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为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57.6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，服务业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PMI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为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57.7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，均表现强劲。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2024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12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月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-2025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2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月，印度商品出口增速分别为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-1%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、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-2.4%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-10.9%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，进口增速则呈波动，反映出内需主导的经济格局。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2024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12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月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-2025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月，印度失业率为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8.3%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8.2%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。国际货币基金组织预测印度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年增速为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6.5%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。</w:t>
            </w:r>
          </w:p>
          <w:p w14:paraId="2C1FDE45" w14:textId="77777777" w:rsidR="003346FE" w:rsidRDefault="006072F2">
            <w:pPr>
              <w:adjustRightInd w:val="0"/>
              <w:snapToGrid w:val="0"/>
              <w:spacing w:after="0"/>
              <w:ind w:firstLine="482"/>
              <w:contextualSpacing/>
              <w:rPr>
                <w:rFonts w:ascii="Times New Roman" w:eastAsia="宋体" w:hAnsi="Times New Roman" w:cs="Times New Roman"/>
                <w:b/>
                <w:szCs w:val="24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4"/>
                <w:lang w:eastAsia="zh-CN"/>
              </w:rPr>
              <w:t>巴西经济复苏动能转弱，净出口显著拖累增长。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2024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年，巴西经济增长率为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3.4%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。第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lastRenderedPageBreak/>
              <w:t>四季度，巴西实际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GDP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同比增速为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3.6%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，环比增长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0.2%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，均较上季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度有所下降。私人消费同比增长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3.8%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，固定资产投资增长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9.6%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，但增速有所放缓。净出口大幅负增长，拖累经济增长。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1-3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月，巴西制造业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PMI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分别为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50.7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、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53.0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51.8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，基本持平；服务业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PMI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有所下降，分别为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47.6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、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50.6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52.5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。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2024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12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月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-2025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2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月，巴西失业率从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6.2%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上升至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6.8%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。国际货币基金组织预测，巴西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年增速将为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2.2%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。</w:t>
            </w:r>
          </w:p>
          <w:p w14:paraId="5D9ECF56" w14:textId="77777777" w:rsidR="003346FE" w:rsidRDefault="006072F2">
            <w:pPr>
              <w:adjustRightInd w:val="0"/>
              <w:snapToGrid w:val="0"/>
              <w:spacing w:after="0"/>
              <w:ind w:firstLine="482"/>
              <w:contextualSpacing/>
              <w:rPr>
                <w:rFonts w:ascii="Times New Roman" w:eastAsia="宋体" w:hAnsi="Times New Roman" w:cs="Times New Roman"/>
                <w:bCs/>
                <w:szCs w:val="24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4"/>
                <w:lang w:eastAsia="zh-CN"/>
              </w:rPr>
              <w:t>南非经济继续缓慢复苏。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2024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4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季度，南非实际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GDP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同比增速为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0.9%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，显著高于上季度，复苏动能增强，但增速仍然非常缓慢。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2024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年，南非经济增长率为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0.6%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。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1-2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月，南非季调后的制造业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PMI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分别为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42.5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、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46.0%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，景气度依然较低。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季度南非劳动力参与率略微上升至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60.3%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，失业率较上季度下降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0.2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个百分点至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31.9%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。国际货币基金组织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月最新报告预测，南非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年经济增速为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1.5%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。</w:t>
            </w:r>
          </w:p>
          <w:p w14:paraId="30850104" w14:textId="77777777" w:rsidR="003346FE" w:rsidRDefault="006072F2">
            <w:pPr>
              <w:keepNext/>
              <w:widowControl w:val="0"/>
              <w:adjustRightInd w:val="0"/>
              <w:snapToGrid w:val="0"/>
              <w:spacing w:after="0"/>
              <w:ind w:firstLine="482"/>
              <w:contextualSpacing/>
              <w:jc w:val="center"/>
              <w:rPr>
                <w:rFonts w:ascii="Times New Roman" w:eastAsia="宋体" w:hAnsi="Times New Roman" w:cs="Times New Roman"/>
                <w:b/>
                <w:szCs w:val="24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4"/>
                <w:lang w:eastAsia="zh-CN"/>
              </w:rPr>
              <w:t>图表</w:t>
            </w:r>
            <w:r>
              <w:rPr>
                <w:rFonts w:ascii="Times New Roman" w:eastAsia="宋体" w:hAnsi="Times New Roman" w:cs="Times New Roman" w:hint="eastAsia"/>
                <w:b/>
                <w:szCs w:val="24"/>
                <w:lang w:eastAsia="zh-CN"/>
              </w:rPr>
              <w:t>2  CEEM</w:t>
            </w:r>
            <w:r>
              <w:rPr>
                <w:rFonts w:ascii="Times New Roman" w:eastAsia="宋体" w:hAnsi="Times New Roman" w:cs="Times New Roman" w:hint="eastAsia"/>
                <w:b/>
                <w:szCs w:val="24"/>
                <w:lang w:eastAsia="zh-CN"/>
              </w:rPr>
              <w:t>大宗商品价格指数</w:t>
            </w:r>
          </w:p>
          <w:p w14:paraId="7984CA12" w14:textId="77777777" w:rsidR="003346FE" w:rsidRDefault="006072F2">
            <w:pPr>
              <w:adjustRightInd w:val="0"/>
              <w:snapToGrid w:val="0"/>
              <w:spacing w:after="0"/>
              <w:ind w:firstLineChars="0" w:firstLine="0"/>
              <w:contextualSpacing/>
              <w:jc w:val="center"/>
              <w:rPr>
                <w:rFonts w:ascii="Times New Roman" w:eastAsia="宋体" w:hAnsi="Times New Roman" w:cs="Times New Roman"/>
                <w:bCs/>
                <w:szCs w:val="24"/>
                <w:lang w:eastAsia="zh-CN"/>
              </w:rPr>
            </w:pPr>
            <w:r>
              <w:rPr>
                <w:noProof/>
                <w:lang w:eastAsia="zh-CN" w:bidi="ar-SA"/>
              </w:rPr>
              <w:drawing>
                <wp:inline distT="0" distB="0" distL="0" distR="0" wp14:anchorId="6F83534D" wp14:editId="1C1F9DEC">
                  <wp:extent cx="4787900" cy="2667000"/>
                  <wp:effectExtent l="0" t="0" r="0" b="0"/>
                  <wp:docPr id="890994518" name="图表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  <w:p w14:paraId="764909A6" w14:textId="77777777" w:rsidR="003346FE" w:rsidRDefault="006072F2">
            <w:pPr>
              <w:adjustRightInd w:val="0"/>
              <w:snapToGrid w:val="0"/>
              <w:spacing w:after="0"/>
              <w:ind w:firstLine="482"/>
              <w:rPr>
                <w:rFonts w:ascii="Times New Roman" w:eastAsia="宋体" w:hAnsi="Times New Roman" w:cs="Times New Roman"/>
                <w:b/>
                <w:szCs w:val="24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4"/>
                <w:lang w:eastAsia="zh-CN"/>
              </w:rPr>
              <w:t>大宗商品价格整体疲弱，石油价格震荡下行，需求预期弱。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季度，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CEEM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大宗商品价格季度均价环比下跌近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1%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，但整个季度前高后低，持续下行。原油方面，受关税战和美国衰退预期提升影响，原油价格在季度初冲高后，持续震荡回落。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OPEC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开始增产也使油价承压。金属方面，市场价格整体先涨后跌，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1-2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月，基础设施投资和制造业的稳定运行，加上中国政府的积极政策，支撑了金属消费的增长。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/>
              </w:rPr>
              <w:t>月份，由于美联储放缓缩表节奏未达市场预期，经济数据显示需求减弱，加上产业政策冲击，导致金属价格下跌。</w:t>
            </w:r>
          </w:p>
          <w:p w14:paraId="6B0421E8" w14:textId="77777777" w:rsidR="003346FE" w:rsidRDefault="006072F2">
            <w:pPr>
              <w:adjustRightInd w:val="0"/>
              <w:snapToGrid w:val="0"/>
              <w:spacing w:before="240" w:after="0"/>
              <w:ind w:firstLineChars="0" w:firstLine="0"/>
              <w:contextualSpacing/>
              <w:rPr>
                <w:rFonts w:ascii="Times New Roman" w:eastAsia="宋体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sz w:val="28"/>
                <w:szCs w:val="28"/>
                <w:lang w:eastAsia="zh-CN"/>
              </w:rPr>
              <w:t>二、</w:t>
            </w:r>
            <w:r>
              <w:rPr>
                <w:rFonts w:ascii="Times New Roman" w:eastAsia="宋体" w:hAnsi="Times New Roman" w:cs="Times New Roman"/>
                <w:b/>
                <w:sz w:val="28"/>
                <w:szCs w:val="28"/>
                <w:lang w:eastAsia="zh-CN"/>
              </w:rPr>
              <w:t>全球金融市场：</w:t>
            </w:r>
            <w:r>
              <w:rPr>
                <w:rFonts w:ascii="Times New Roman" w:eastAsia="宋体" w:hAnsi="Times New Roman" w:cs="Times New Roman" w:hint="eastAsia"/>
                <w:b/>
                <w:sz w:val="28"/>
                <w:szCs w:val="28"/>
                <w:lang w:eastAsia="zh-CN"/>
              </w:rPr>
              <w:t>美元资产急剧动荡</w:t>
            </w:r>
          </w:p>
          <w:p w14:paraId="1895C42F" w14:textId="77777777" w:rsidR="003346FE" w:rsidRDefault="006072F2">
            <w:pPr>
              <w:adjustRightInd w:val="0"/>
              <w:snapToGrid w:val="0"/>
              <w:spacing w:after="0"/>
              <w:ind w:firstLine="482"/>
              <w:rPr>
                <w:rFonts w:ascii="Times New Roman" w:eastAsia="宋体" w:hAnsi="Times New Roman" w:cs="Times New Roman"/>
                <w:bCs/>
                <w:szCs w:val="24"/>
                <w:lang w:eastAsia="zh-CN" w:bidi="ar-SA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4"/>
                <w:lang w:eastAsia="zh-CN" w:bidi="ar-SA"/>
              </w:rPr>
              <w:t>美元资产急剧动荡。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季度，美联储按兵不动，特朗普政府挑起全球“关税战”，先对主要贸易伙伴加征关税，并释放出对全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球加征“对等关税”的预期（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4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月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2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日公布了“对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lastRenderedPageBreak/>
              <w:t>等关税”清单）。美元贬值，日元、欧元均兑美元升值，人民币在一季度基本稳定。长期利率方面，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季度市场交易美国衰退预期，美国十年期国债收益率在一季度大幅下行（价格上涨）。其他主要经济体长期利率整体上行。在通胀、增长预期都未发生明显抬升的情况下，长期利率上升可能反映了风险溢价的变化。</w:t>
            </w:r>
          </w:p>
          <w:p w14:paraId="4493FF23" w14:textId="77777777" w:rsidR="003346FE" w:rsidRDefault="006072F2">
            <w:pPr>
              <w:adjustRightInd w:val="0"/>
              <w:snapToGrid w:val="0"/>
              <w:spacing w:after="0"/>
              <w:ind w:firstLine="482"/>
              <w:rPr>
                <w:rFonts w:ascii="Times New Roman" w:eastAsia="宋体" w:hAnsi="Times New Roman" w:cs="Times New Roman"/>
                <w:bCs/>
                <w:szCs w:val="24"/>
                <w:lang w:eastAsia="zh-CN" w:bidi="ar-SA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4"/>
                <w:lang w:eastAsia="zh-CN" w:bidi="ar-SA"/>
              </w:rPr>
              <w:t>特朗普“对等关税”政策引发全球资产暴跌。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美股下跌，欧洲股市和新兴市场上涨。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MSCI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全球股指较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2024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年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4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季度末下跌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2.51%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。其中，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MSCI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发达经济体股票市场下跌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3.01%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，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MSCI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新兴经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济体上涨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2.14%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。大宗商品价格方面，俄乌冲突持续延宕，美伊冲突再度升级、美国全面制裁伊朗，原油价格上涨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3.59%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，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CRB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商品价格指数上涨约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4.42%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。特朗普执政风格不确定性较大，全球经济、贸易、地缘政治不确定性提高，一季度黄金价格大涨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19.31%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。</w:t>
            </w:r>
          </w:p>
          <w:p w14:paraId="7CAFC72A" w14:textId="77777777" w:rsidR="003346FE" w:rsidRDefault="006072F2">
            <w:pPr>
              <w:adjustRightInd w:val="0"/>
              <w:snapToGrid w:val="0"/>
              <w:spacing w:after="0"/>
              <w:ind w:firstLine="482"/>
              <w:rPr>
                <w:rFonts w:ascii="Times New Roman" w:eastAsia="宋体" w:hAnsi="Times New Roman" w:cs="Times New Roman"/>
                <w:bCs/>
                <w:szCs w:val="24"/>
                <w:lang w:eastAsia="zh-CN" w:bidi="ar-SA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4"/>
                <w:lang w:eastAsia="zh-CN" w:bidi="ar-SA"/>
              </w:rPr>
              <w:t>美股恐慌情绪急速升温。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美股恐慌情绪大涨，但美元流动性并未受到影响。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月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11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日，美股三大股指全部下跌，迎来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2025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年第一个“黑色星期一”，美股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VIX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指数当天升至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25%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以上。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4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月，“对等关税”清单公布后，美股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VIX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指数急速上升至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50%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以上，仅次于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2008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年金融危机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和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2020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年新冠肺炎疫情初期的水平。但目前来看，资产价格的大跌暂未引发美元流动性危机。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TED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利差（美国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个月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SOFR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利率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-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美国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个月国债收益率）略有上升，表示美元流动性有所趋紧，但依然保持在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-0.01%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左右的低位。</w:t>
            </w:r>
          </w:p>
          <w:p w14:paraId="7E789435" w14:textId="77777777" w:rsidR="003346FE" w:rsidRDefault="006072F2">
            <w:pPr>
              <w:adjustRightInd w:val="0"/>
              <w:snapToGrid w:val="0"/>
              <w:spacing w:after="0"/>
              <w:ind w:firstLine="482"/>
              <w:rPr>
                <w:rFonts w:ascii="Times New Roman" w:eastAsia="宋体" w:hAnsi="Times New Roman" w:cs="Times New Roman"/>
                <w:bCs/>
                <w:szCs w:val="24"/>
                <w:lang w:eastAsia="zh-CN" w:bidi="ar-SA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4"/>
                <w:lang w:eastAsia="zh-CN" w:bidi="ar-SA"/>
              </w:rPr>
              <w:t>美联储按兵不动，日本央行加息、欧央行降息。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季度，美联储未调整联邦基金目标利率，联邦基金利率几乎保持不变。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2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月、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月，欧央行将主要再融资利率两次分别下调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25bp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至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2.65%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，存款便利利率、贷款便利利率同步累计下调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50bp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至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2.5%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、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2.9%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。欧元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Euribor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季内波幅为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54.9bp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，下行幅度稍大于主要再融资利率下调幅度。日本央行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月加息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25bp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，日本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Tibor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波幅约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25.73bp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。新兴市场货币市场利率波动较大，印度央行加息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次，俄罗斯央行关键利率保持不变，同业拆借利率季内波幅较大、达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125bp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。人民银行并未进一步降息降准，公开市场净回笼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2882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亿元（不含国库现金），银行间资金面偏紧，央行释放出降息降准预期，但短端货币市场利率未对预期做明显反应，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季度人民币货币市场利率中枢抬升，波动较大、季内波幅接近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70bp</w:t>
            </w:r>
            <w:r>
              <w:rPr>
                <w:rFonts w:ascii="Times New Roman" w:eastAsia="宋体" w:hAnsi="Times New Roman" w:cs="Times New Roman" w:hint="eastAsia"/>
                <w:bCs/>
                <w:szCs w:val="24"/>
                <w:lang w:eastAsia="zh-CN" w:bidi="ar-SA"/>
              </w:rPr>
              <w:t>。</w:t>
            </w:r>
          </w:p>
          <w:p w14:paraId="72DAC27E" w14:textId="77777777" w:rsidR="003346FE" w:rsidRDefault="006072F2">
            <w:pPr>
              <w:adjustRightInd w:val="0"/>
              <w:snapToGrid w:val="0"/>
              <w:spacing w:after="0"/>
              <w:ind w:firstLine="482"/>
              <w:rPr>
                <w:rFonts w:ascii="Times New Roman" w:eastAsia="宋体" w:hAnsi="Times New Roman" w:cs="Times New Roman"/>
                <w:bCs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lang w:eastAsia="zh-CN"/>
              </w:rPr>
              <w:t>美债安全属性动摇，美股将在震荡中下行。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特朗普执政风格的不确定性削弱了美元和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美债的信用，频繁的政策变化加剧了美国金融市场的波动。美国国债不再是全球投资者的“避风港”，反而成为风险源。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4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月初，十年期美债收益率急剧上升，接近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40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基点，特朗普公布“对等关税”后，美元、美股和美债价格明显下跌，而日元和欧元则成为资金的避风港。未来，美股可能面临震荡下行。一方面，特朗普政策的不确定性增加市场波动，导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lastRenderedPageBreak/>
              <w:t>致主权基金和对冲基金减少美股敞口；另一方面，关税政策带来需求下降和成本上升，影响科技公司盈利。市场避险情绪上升，资金可能流出美股，转向其他安全资产，美元和美债的避险功能受到挑战。</w:t>
            </w:r>
          </w:p>
          <w:p w14:paraId="4D6444BF" w14:textId="77777777" w:rsidR="003346FE" w:rsidRDefault="006072F2">
            <w:pPr>
              <w:adjustRightInd w:val="0"/>
              <w:snapToGrid w:val="0"/>
              <w:spacing w:after="0"/>
              <w:ind w:firstLine="482"/>
              <w:rPr>
                <w:rFonts w:ascii="Times New Roman" w:eastAsia="宋体" w:hAnsi="Times New Roman" w:cs="Times New Roman"/>
                <w:bCs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lang w:eastAsia="zh-CN"/>
              </w:rPr>
              <w:t>银行代客收付款经常</w:t>
            </w:r>
            <w:r>
              <w:rPr>
                <w:rFonts w:ascii="Times New Roman" w:eastAsia="宋体" w:hAnsi="Times New Roman" w:cs="Times New Roman" w:hint="eastAsia"/>
                <w:b/>
                <w:lang w:eastAsia="zh-CN"/>
              </w:rPr>
              <w:t>项目顺差收窄，涉外收付款资本和金融项目逆差规模收窄，直接投资逆差大幅扩大、证券投资逆差显著收窄，其他投资仍维持小幅顺差。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2025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年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1-2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月，境内银行代客涉外收付款的经常项目逆差缩小至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758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亿美元，较上季度同期的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987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亿美元有所下降。货物贸易顺差下降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11.1%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，至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1302.5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亿美元；服务贸易逆差扩大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40.3%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，达到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305.6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亿美元；收入项逆差收窄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21.1%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，为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238.9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亿美元。资本和金融项目逆差也有所收窄，逆差规模为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757.2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亿美元，比上季度同期减少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14.4%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。具体细项中，直接投资逆差显著扩大至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418.2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亿美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元，证券投资逆差从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714.3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亿美元降至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347.9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亿美元，而其他投资顺差进一步收窄至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10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亿美元。</w:t>
            </w:r>
          </w:p>
          <w:p w14:paraId="1AAE3FA9" w14:textId="77777777" w:rsidR="003346FE" w:rsidRDefault="006072F2">
            <w:pPr>
              <w:adjustRightInd w:val="0"/>
              <w:snapToGrid w:val="0"/>
              <w:spacing w:after="0"/>
              <w:ind w:firstLine="482"/>
              <w:rPr>
                <w:rFonts w:ascii="Times New Roman" w:eastAsia="宋体" w:hAnsi="Times New Roman" w:cs="Times New Roman"/>
                <w:b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lang w:eastAsia="zh-CN"/>
              </w:rPr>
              <w:t>银行结售汇转为逆差。银行自身结售汇为小幅顺差和代客结售汇由顺差转为逆差。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2025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年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1-2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月，银行结售汇由顺差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217.2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亿美元转为逆差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556.3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亿美元。银行结汇金额由上季度的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4207.8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亿美元降至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3394.4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亿美元，银行售汇金额由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3990.5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亿美元降至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3950.7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亿美元。银行自身结汇大幅下降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50.8%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，至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58.3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亿美元，而售汇上升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19.3%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，至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155.5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亿美元，导致结售汇从顺差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18.3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亿美元转为逆差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97.1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亿美元。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银行代客结售汇从上季度顺差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198.9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亿美元转为逆差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459.1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亿美元。结汇率下降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7.6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个百分点至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56.8%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，售汇率上升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1.9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个百分点至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69.3%</w:t>
            </w:r>
            <w:r>
              <w:rPr>
                <w:rFonts w:ascii="Times New Roman" w:eastAsia="宋体" w:hAnsi="Times New Roman" w:cs="Times New Roman" w:hint="eastAsia"/>
                <w:bCs/>
                <w:lang w:eastAsia="zh-CN"/>
              </w:rPr>
              <w:t>。</w:t>
            </w:r>
          </w:p>
          <w:p w14:paraId="29CCFBEE" w14:textId="77777777" w:rsidR="003346FE" w:rsidRDefault="003346FE">
            <w:pPr>
              <w:adjustRightInd w:val="0"/>
              <w:snapToGrid w:val="0"/>
              <w:spacing w:after="0"/>
              <w:ind w:firstLine="482"/>
              <w:rPr>
                <w:rFonts w:ascii="Times New Roman" w:eastAsia="宋体" w:hAnsi="Times New Roman" w:cs="Times New Roman"/>
                <w:b/>
                <w:lang w:eastAsia="zh-CN"/>
              </w:rPr>
            </w:pPr>
          </w:p>
          <w:p w14:paraId="37E9A284" w14:textId="77777777" w:rsidR="003346FE" w:rsidRDefault="006072F2">
            <w:pPr>
              <w:keepNext/>
              <w:widowControl w:val="0"/>
              <w:adjustRightInd w:val="0"/>
              <w:snapToGrid w:val="0"/>
              <w:spacing w:after="0"/>
              <w:ind w:firstLineChars="0" w:firstLine="0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sz w:val="21"/>
                <w:szCs w:val="21"/>
                <w:lang w:eastAsia="zh-CN"/>
              </w:rPr>
              <w:t>图表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sz w:val="21"/>
                <w:szCs w:val="21"/>
                <w:lang w:eastAsia="zh-CN"/>
              </w:rPr>
              <w:t xml:space="preserve">3  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sz w:val="21"/>
                <w:szCs w:val="21"/>
                <w:lang w:eastAsia="zh-CN"/>
              </w:rPr>
              <w:t>全球金融市场主要指标变动</w:t>
            </w:r>
          </w:p>
          <w:p w14:paraId="190C7F9E" w14:textId="77777777" w:rsidR="003346FE" w:rsidRDefault="006072F2">
            <w:pPr>
              <w:adjustRightInd w:val="0"/>
              <w:snapToGrid w:val="0"/>
              <w:spacing w:after="0"/>
              <w:ind w:firstLineChars="0" w:hanging="1"/>
              <w:jc w:val="center"/>
              <w:rPr>
                <w:rFonts w:ascii="Times New Roman" w:eastAsia="宋体" w:hAnsi="Times New Roman" w:cs="Times New Roman"/>
                <w:szCs w:val="28"/>
                <w:lang w:eastAsia="zh-CN"/>
              </w:rPr>
            </w:pPr>
            <w:r>
              <w:rPr>
                <w:noProof/>
                <w:lang w:eastAsia="zh-CN" w:bidi="ar-SA"/>
              </w:rPr>
              <w:lastRenderedPageBreak/>
              <w:drawing>
                <wp:inline distT="0" distB="0" distL="114300" distR="114300" wp14:anchorId="03FA1E69" wp14:editId="2D6D540C">
                  <wp:extent cx="5623560" cy="5708650"/>
                  <wp:effectExtent l="0" t="0" r="0" b="6350"/>
                  <wp:docPr id="177628081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28081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19" cy="5723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8885D3" w14:textId="77777777" w:rsidR="003346FE" w:rsidRDefault="006072F2">
            <w:pPr>
              <w:adjustRightInd w:val="0"/>
              <w:snapToGrid w:val="0"/>
              <w:spacing w:after="0"/>
              <w:ind w:firstLine="360"/>
              <w:rPr>
                <w:rFonts w:ascii="Times New Roman" w:eastAsia="楷体" w:hAnsi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楷体" w:hAnsi="Times New Roman"/>
                <w:color w:val="000000"/>
                <w:sz w:val="18"/>
                <w:szCs w:val="18"/>
                <w:lang w:eastAsia="zh-CN"/>
              </w:rPr>
              <w:t>注</w:t>
            </w:r>
            <w:r>
              <w:rPr>
                <w:rFonts w:ascii="Times New Roman" w:eastAsia="楷体" w:hAnsi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="楷体" w:hAnsi="Times New Roman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ascii="Times New Roman" w:eastAsia="楷体" w:hAnsi="Times New Roman" w:hint="eastAsia"/>
                <w:color w:val="000000"/>
                <w:sz w:val="18"/>
                <w:szCs w:val="18"/>
                <w:lang w:eastAsia="zh-CN"/>
              </w:rPr>
              <w:t>原始数据来源于汤森路透数据库，经笔者计算。债券价格的波动体现为价格的波动，而非收益率的变动，即价格下跌、利率上升。</w:t>
            </w:r>
          </w:p>
          <w:p w14:paraId="0382B6B0" w14:textId="10EB49D1" w:rsidR="003346FE" w:rsidRDefault="006072F2">
            <w:pPr>
              <w:adjustRightInd w:val="0"/>
              <w:snapToGrid w:val="0"/>
              <w:spacing w:after="0"/>
              <w:ind w:firstLine="360"/>
              <w:rPr>
                <w:rFonts w:ascii="Times New Roman" w:eastAsia="楷体" w:hAnsi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楷体" w:hAnsi="Times New Roman" w:hint="eastAsia"/>
                <w:color w:val="000000"/>
                <w:sz w:val="18"/>
                <w:szCs w:val="18"/>
                <w:lang w:eastAsia="zh-CN"/>
              </w:rPr>
              <w:t>注</w:t>
            </w:r>
            <w:r>
              <w:rPr>
                <w:rFonts w:ascii="Times New Roman" w:eastAsia="楷体" w:hAnsi="Times New Roman" w:hint="eastAsia"/>
                <w:color w:val="000000"/>
                <w:sz w:val="18"/>
                <w:szCs w:val="18"/>
                <w:lang w:eastAsia="zh-CN"/>
              </w:rPr>
              <w:t>2</w:t>
            </w:r>
            <w:r>
              <w:rPr>
                <w:rFonts w:ascii="Times New Roman" w:eastAsia="楷体" w:hAnsi="Times New Roman" w:hint="eastAsia"/>
                <w:color w:val="000000"/>
                <w:sz w:val="18"/>
                <w:szCs w:val="18"/>
                <w:lang w:eastAsia="zh-CN"/>
              </w:rPr>
              <w:t>：该表数据截止日为</w:t>
            </w:r>
            <w:r>
              <w:rPr>
                <w:rFonts w:ascii="Times New Roman" w:eastAsia="楷体" w:hAnsi="Times New Roman" w:hint="eastAsia"/>
                <w:color w:val="000000"/>
                <w:sz w:val="18"/>
                <w:szCs w:val="18"/>
                <w:lang w:eastAsia="zh-CN"/>
              </w:rPr>
              <w:t>2025</w:t>
            </w:r>
            <w:r>
              <w:rPr>
                <w:rFonts w:ascii="Times New Roman" w:eastAsia="楷体" w:hAnsi="Times New Roman" w:hint="eastAsia"/>
                <w:color w:val="000000"/>
                <w:sz w:val="18"/>
                <w:szCs w:val="18"/>
                <w:lang w:eastAsia="zh-CN"/>
              </w:rPr>
              <w:t>年</w:t>
            </w:r>
            <w:r>
              <w:rPr>
                <w:rFonts w:ascii="Times New Roman" w:eastAsia="楷体" w:hAnsi="Times New Roman" w:hint="eastAsia"/>
                <w:color w:val="000000"/>
                <w:sz w:val="18"/>
                <w:szCs w:val="18"/>
                <w:lang w:eastAsia="zh-CN"/>
              </w:rPr>
              <w:t>3</w:t>
            </w:r>
            <w:r>
              <w:rPr>
                <w:rFonts w:ascii="Times New Roman" w:eastAsia="楷体" w:hAnsi="Times New Roman" w:hint="eastAsia"/>
                <w:color w:val="000000"/>
                <w:sz w:val="18"/>
                <w:szCs w:val="18"/>
                <w:lang w:eastAsia="zh-CN"/>
              </w:rPr>
              <w:t>月</w:t>
            </w:r>
            <w:r>
              <w:rPr>
                <w:rFonts w:ascii="Times New Roman" w:eastAsia="楷体" w:hAnsi="Times New Roman" w:hint="eastAsia"/>
                <w:color w:val="000000"/>
                <w:sz w:val="18"/>
                <w:szCs w:val="18"/>
                <w:lang w:eastAsia="zh-CN"/>
              </w:rPr>
              <w:t>31</w:t>
            </w:r>
            <w:r>
              <w:rPr>
                <w:rFonts w:ascii="Times New Roman" w:eastAsia="楷体" w:hAnsi="Times New Roman" w:hint="eastAsia"/>
                <w:color w:val="000000"/>
                <w:sz w:val="18"/>
                <w:szCs w:val="18"/>
                <w:lang w:eastAsia="zh-CN"/>
              </w:rPr>
              <w:t>日，变动幅度均按季末值计算。因截止时间和计算方法差异，该表的数据与后文的图表数据可能存在相近不相同的情况。</w:t>
            </w:r>
          </w:p>
          <w:p w14:paraId="48A738E8" w14:textId="77777777" w:rsidR="003346FE" w:rsidRDefault="006072F2">
            <w:pPr>
              <w:spacing w:after="0" w:line="240" w:lineRule="auto"/>
              <w:ind w:firstLineChars="0" w:firstLine="0"/>
              <w:jc w:val="left"/>
              <w:rPr>
                <w:rFonts w:ascii="Times New Roman" w:eastAsia="楷体" w:hAnsi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楷体" w:hAnsi="Times New Roman"/>
                <w:color w:val="000000"/>
                <w:sz w:val="18"/>
                <w:szCs w:val="18"/>
                <w:lang w:eastAsia="zh-CN"/>
              </w:rPr>
              <w:br w:type="page"/>
            </w:r>
          </w:p>
          <w:p w14:paraId="523EF43F" w14:textId="77777777" w:rsidR="003346FE" w:rsidRDefault="006072F2">
            <w:pPr>
              <w:adjustRightInd w:val="0"/>
              <w:snapToGrid w:val="0"/>
              <w:spacing w:after="0"/>
              <w:ind w:firstLineChars="0" w:firstLine="0"/>
              <w:contextualSpacing/>
              <w:rPr>
                <w:rFonts w:ascii="Times New Roman" w:eastAsia="宋体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/>
                <w:sz w:val="28"/>
                <w:szCs w:val="28"/>
                <w:lang w:eastAsia="zh-CN"/>
              </w:rPr>
              <w:t>三、展望与对策</w:t>
            </w:r>
          </w:p>
          <w:p w14:paraId="542CF82A" w14:textId="77777777" w:rsidR="003346FE" w:rsidRDefault="006072F2">
            <w:pPr>
              <w:adjustRightInd w:val="0"/>
              <w:snapToGrid w:val="0"/>
              <w:spacing w:after="0"/>
              <w:ind w:firstLine="480"/>
              <w:rPr>
                <w:rFonts w:ascii="Times New Roman" w:eastAsia="宋体" w:hAnsi="Times New Roman"/>
                <w:bCs/>
                <w:color w:val="000000"/>
                <w:kern w:val="0"/>
                <w:szCs w:val="24"/>
                <w:lang w:eastAsia="zh-CN"/>
              </w:rPr>
            </w:pP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近期，特朗普政府宣布的“对等关税”措施在范围与幅度上远超市场预期，引发全球金融市场剧烈动荡，贸易政策不确定性骤增，全球经济下行压力明显加大。世界贸易组织最新发布的《全球贸易展望与统计》报告预测，在当前条件下，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年全球商品贸易量将萎缩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0.2%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，较“低关税”基线情景低近三个百分点，贸易收缩风险可能进一步加剧。展望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年，全球经济面临的风险主要集中在以下四个方面：</w:t>
            </w:r>
          </w:p>
          <w:p w14:paraId="5C3956F2" w14:textId="77777777" w:rsidR="003346FE" w:rsidRDefault="006072F2">
            <w:pPr>
              <w:adjustRightInd w:val="0"/>
              <w:snapToGrid w:val="0"/>
              <w:spacing w:after="0"/>
              <w:ind w:firstLine="482"/>
              <w:rPr>
                <w:rFonts w:ascii="Times New Roman" w:eastAsia="宋体" w:hAnsi="Times New Roman"/>
                <w:bCs/>
                <w:color w:val="000000"/>
                <w:kern w:val="0"/>
                <w:szCs w:val="24"/>
                <w:lang w:eastAsia="zh-CN"/>
              </w:rPr>
            </w:pPr>
            <w:r>
              <w:rPr>
                <w:rFonts w:ascii="Times New Roman" w:eastAsia="宋体" w:hAnsi="Times New Roman" w:hint="eastAsia"/>
                <w:b/>
                <w:color w:val="000000"/>
                <w:kern w:val="0"/>
                <w:szCs w:val="24"/>
                <w:lang w:eastAsia="zh-CN"/>
              </w:rPr>
              <w:lastRenderedPageBreak/>
              <w:t>全球经济下行风险显著上升。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美国关税水平攀升至数十年高位，部分经济体的反制措施已经开展，这不仅对贸易依存度较高的经济体造成直接冲击，更导致全球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产业链供应链重构，生产效率明显下降。更为严重的是，贸易政策的不确定性将迫使企业推迟投资决策，消费者收缩支出，经济活动陷入停滞。国际货币基金组织总裁格奥尔基耶娃在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IMF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和世界银行春季会议上指出，金融市场波动加剧叠加贸易政策不确定性上升，将导致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IMF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在最新《世界经济展望》中大幅下调全球经济增速预期，尽管预计不会陷入全面衰退。</w:t>
            </w:r>
          </w:p>
          <w:p w14:paraId="1EC96D24" w14:textId="77777777" w:rsidR="003346FE" w:rsidRDefault="006072F2">
            <w:pPr>
              <w:adjustRightInd w:val="0"/>
              <w:snapToGrid w:val="0"/>
              <w:spacing w:after="0"/>
              <w:ind w:firstLine="482"/>
              <w:rPr>
                <w:rFonts w:ascii="Times New Roman" w:eastAsia="宋体" w:hAnsi="Times New Roman"/>
                <w:bCs/>
                <w:color w:val="000000"/>
                <w:kern w:val="0"/>
                <w:szCs w:val="24"/>
                <w:lang w:eastAsia="zh-CN"/>
              </w:rPr>
            </w:pPr>
            <w:r>
              <w:rPr>
                <w:rFonts w:ascii="Times New Roman" w:eastAsia="宋体" w:hAnsi="Times New Roman" w:hint="eastAsia"/>
                <w:b/>
                <w:color w:val="000000"/>
                <w:kern w:val="0"/>
                <w:szCs w:val="24"/>
                <w:lang w:eastAsia="zh-CN"/>
              </w:rPr>
              <w:t>通胀反弹风险大幅增加。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年以来，特朗普政府多次对其他国家加征关税，大幅增加了通胀反弹风险。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季度，美欧通胀回落速度依然缓慢，通胀回归的“最后一公里”粘性进一步凸显。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1-3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月，美国核心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CPI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平均同比为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3.1%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，仍超过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3%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，同期欧元区核心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CPI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同比为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2.6%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，仅较上季度均值下降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0.1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个百分点。从全球来看，日本、韩国、加拿大、巴西、越南、印尼、俄罗斯等其他经济体通胀出现明显反弹。随着关税影响的显现，美国通胀将显著反弹。通胀顽固性将制约货币宽松进程。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2024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9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月，美联储公开市场委员会预计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年，美联储将降息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100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个基点。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2024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12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月与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月，公开市场委员会预计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年仅降息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50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个基点。克利夫兰联储与密歇根大学发布的通胀预期指数均在最近出现反弹。鲍威尔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4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月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16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日讲话称，关税极可能至少导致通胀暂时上升，也可能演变为持久通胀。在通胀上升的同时，美国经济衰退风险也大幅增加。经济下行虽然会抵消关税带来的部分通胀压力，但关税损害经济效率，美国出现滞胀的可能性无法排除。未来，特朗普政府与美联储之间的矛盾将反复出现。在经济下行压力加大的情况下，通胀对货币宽松的制约显然不利于全球经济增长与金融稳定。</w:t>
            </w:r>
          </w:p>
          <w:p w14:paraId="306CAEC8" w14:textId="77777777" w:rsidR="003346FE" w:rsidRDefault="006072F2">
            <w:pPr>
              <w:adjustRightInd w:val="0"/>
              <w:snapToGrid w:val="0"/>
              <w:spacing w:after="0"/>
              <w:ind w:firstLine="482"/>
              <w:rPr>
                <w:rFonts w:ascii="Times New Roman" w:eastAsia="宋体" w:hAnsi="Times New Roman"/>
                <w:bCs/>
                <w:color w:val="000000"/>
                <w:kern w:val="0"/>
                <w:szCs w:val="24"/>
                <w:lang w:eastAsia="zh-CN"/>
              </w:rPr>
            </w:pPr>
            <w:r>
              <w:rPr>
                <w:rFonts w:ascii="Times New Roman" w:eastAsia="宋体" w:hAnsi="Times New Roman" w:hint="eastAsia"/>
                <w:b/>
                <w:color w:val="000000"/>
                <w:kern w:val="0"/>
                <w:szCs w:val="24"/>
                <w:lang w:eastAsia="zh-CN"/>
              </w:rPr>
              <w:t>美元资产吸引力下降。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2025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年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1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季度，特朗普关税政策引发全球金融市场动荡，美股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VIX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指数升至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50%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以上。美元贬值，日元、欧元兑美元升值，人民币、印度卢比基本稳定。美股下跌，欧洲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股市和新兴市场股市上涨。在特朗普关税政策冲击下，全球主要经济体股市波动明显加大。长期利率方面，美国十年期国债收益率在一季度下行，其他主要经济体长期利率上行。黄金价格和铜价大涨。但“对等关税”清单公布后，美债走势出现了迅速的逆转，十年期美债和高收益债收益率明显上行。美元、美股、美债快速下跌，全球风险资产普遍下跌，美股、欧股一周内下跌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10%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，上证综指下跌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6%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，欧元、日元继续升值。黄金价格在平仓抛售压力下大幅下跌，但此轮资产价格急剧下跌还暂未导致美元流动性不足。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TED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利差有所抬升，但仍处在负值的较低区间。特朗普执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政风格不确定性过高，美国金融市场波动加大，美元资产从“避风港”变为“风险源”，美债面临抛售压力，美股也或在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lastRenderedPageBreak/>
              <w:t>震荡中下跌。</w:t>
            </w:r>
          </w:p>
          <w:p w14:paraId="547A0B0B" w14:textId="77777777" w:rsidR="003346FE" w:rsidRDefault="006072F2">
            <w:pPr>
              <w:adjustRightInd w:val="0"/>
              <w:snapToGrid w:val="0"/>
              <w:spacing w:after="0"/>
              <w:ind w:firstLine="482"/>
              <w:rPr>
                <w:rFonts w:ascii="Times New Roman" w:eastAsia="宋体" w:hAnsi="Times New Roman"/>
                <w:bCs/>
                <w:color w:val="000000"/>
                <w:kern w:val="0"/>
                <w:szCs w:val="24"/>
                <w:lang w:eastAsia="zh-CN"/>
              </w:rPr>
            </w:pPr>
            <w:r>
              <w:rPr>
                <w:rFonts w:ascii="Times New Roman" w:eastAsia="宋体" w:hAnsi="Times New Roman" w:hint="eastAsia"/>
                <w:b/>
                <w:color w:val="000000"/>
                <w:kern w:val="0"/>
                <w:szCs w:val="24"/>
                <w:lang w:eastAsia="zh-CN"/>
              </w:rPr>
              <w:t>美联储独立性面临严峻挑战。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面对“对等关税”政策带来的冲击，美联储主席鲍威尔坚持“三不”立场：不急于降息，即在关税影响的规模和持续时间明朗前维持利率水平；不干预市场，即在金融市场剧烈动荡期间保持克制；不预测衰退，即虽然承认经济风险上升但仍强调基本面稳健。实际上，美联储正陷入两难困境：关税政策可能同时引发通胀失控和经济失速风险，这迫使美联储在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月议息会议中选择观望。然而，特朗普对美联储施压日益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加剧，多次威胁提前解除鲍威尔职务，严重挑战美联储的政策独立性。</w:t>
            </w:r>
          </w:p>
          <w:p w14:paraId="69067D69" w14:textId="77777777" w:rsidR="003346FE" w:rsidRDefault="003346FE">
            <w:pPr>
              <w:adjustRightInd w:val="0"/>
              <w:snapToGrid w:val="0"/>
              <w:spacing w:after="0"/>
              <w:ind w:firstLine="480"/>
              <w:rPr>
                <w:rFonts w:ascii="Times New Roman" w:eastAsia="宋体" w:hAnsi="Times New Roman"/>
                <w:bCs/>
                <w:color w:val="000000"/>
                <w:kern w:val="0"/>
                <w:szCs w:val="24"/>
                <w:lang w:eastAsia="zh-CN"/>
              </w:rPr>
            </w:pPr>
          </w:p>
          <w:p w14:paraId="39060BDF" w14:textId="77777777" w:rsidR="003346FE" w:rsidRDefault="006072F2">
            <w:pPr>
              <w:adjustRightInd w:val="0"/>
              <w:snapToGrid w:val="0"/>
              <w:spacing w:after="0"/>
              <w:ind w:firstLine="480"/>
              <w:rPr>
                <w:rFonts w:ascii="Times New Roman" w:eastAsia="宋体" w:hAnsi="Times New Roman"/>
                <w:bCs/>
                <w:color w:val="000000"/>
                <w:kern w:val="0"/>
                <w:szCs w:val="24"/>
                <w:lang w:eastAsia="zh-CN"/>
              </w:rPr>
            </w:pP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全球经济不确定性增加和下行风险上升，可能对我国经济产生超预期的冲击，我需加快动用政策工具，积极应对外部环境变化。具体可考虑以下三方面举措：</w:t>
            </w:r>
          </w:p>
          <w:p w14:paraId="380244FA" w14:textId="77777777" w:rsidR="003346FE" w:rsidRDefault="006072F2">
            <w:pPr>
              <w:adjustRightInd w:val="0"/>
              <w:snapToGrid w:val="0"/>
              <w:spacing w:after="0"/>
              <w:ind w:firstLine="482"/>
              <w:rPr>
                <w:rFonts w:ascii="Times New Roman" w:eastAsia="宋体" w:hAnsi="Times New Roman"/>
                <w:bCs/>
                <w:color w:val="000000"/>
                <w:kern w:val="0"/>
                <w:szCs w:val="24"/>
                <w:lang w:eastAsia="zh-CN"/>
              </w:rPr>
            </w:pPr>
            <w:r>
              <w:rPr>
                <w:rFonts w:ascii="Times New Roman" w:eastAsia="宋体" w:hAnsi="Times New Roman" w:hint="eastAsia"/>
                <w:b/>
                <w:color w:val="000000"/>
                <w:kern w:val="0"/>
                <w:szCs w:val="24"/>
                <w:lang w:eastAsia="zh-CN"/>
              </w:rPr>
              <w:t>一是强化宏观政策逆周期和跨周期调节。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当前我经济运行面临的突出矛盾依然是有效需求不足，我需要继续实施更加积极的财政政策和适度宽松的货币政策，加强政策工具创新和协调配合。首先，货币政策方面，除继续运用降息、降准等常规货币政策工具外，还要根据经济运行实际需要，创新和优化货币政策工具组合，继续推出流动性管理等新工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具，疏通货币政策传导渠道，并以激活股票市场、提振投资者信心为重要抓手，引导社会预期向好。其次，财政政策方面，中央和地方政府应合理加快财政支出进度，必要时进一步提高财政赤字率，加大资金拨付力度，切实发挥财政政策对经济恢复的关键支撑作用。最后，加强财政政策与货币政策的协同配合，形成政策合力。尤其应注意，货币政策要适时加大对财政赤字融资的支持力度，为积极的财政政策创造良好的金融环境。</w:t>
            </w:r>
          </w:p>
          <w:p w14:paraId="4A1CF1ED" w14:textId="77777777" w:rsidR="003346FE" w:rsidRDefault="006072F2">
            <w:pPr>
              <w:adjustRightInd w:val="0"/>
              <w:snapToGrid w:val="0"/>
              <w:spacing w:after="0"/>
              <w:ind w:firstLine="482"/>
              <w:rPr>
                <w:rFonts w:ascii="Times New Roman" w:eastAsia="宋体" w:hAnsi="Times New Roman"/>
                <w:bCs/>
                <w:color w:val="000000"/>
                <w:kern w:val="0"/>
                <w:szCs w:val="24"/>
                <w:lang w:eastAsia="zh-CN"/>
              </w:rPr>
            </w:pPr>
            <w:r>
              <w:rPr>
                <w:rFonts w:ascii="Times New Roman" w:eastAsia="宋体" w:hAnsi="Times New Roman" w:hint="eastAsia"/>
                <w:b/>
                <w:color w:val="000000"/>
                <w:kern w:val="0"/>
                <w:szCs w:val="24"/>
                <w:lang w:eastAsia="zh-CN"/>
              </w:rPr>
              <w:t>二是提高人民币汇率弹性，在高水平开放中强化金融安全网。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发挥汇率对国际收支的自动平衡器作用，提高人民币汇率弹性，发展人民币汇率衍生品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市场。推动金融市场高水平制度型开放，在全球经济不确定性上升时以估值低、预期稳的资本市场吸引境外主权资金和长期资金流入，以增强纽带和联系保障我金融安全。推动国内市场规则、制度不断与国际接轨，提升信用评级、信息披露等关键微观制度质量。确保国内金融管理水平与高水平对外开放相匹配。强化金融安全网，以市场化、法治化的手段处置金融风险。加强跨境资本流动的宏观审慎管理，完善覆盖全市场的宏观审慎管理，以积极的沟通和可兑现的行动增强市场信心，维护我资本市场稳定。加强与主要经济体金融管理部门协调配合，降低大型金融机构和企业破产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、发达经济体政策变动对我金融市场的溢出和冲击。</w:t>
            </w:r>
          </w:p>
          <w:p w14:paraId="5379F966" w14:textId="77777777" w:rsidR="003346FE" w:rsidRDefault="006072F2">
            <w:pPr>
              <w:adjustRightInd w:val="0"/>
              <w:snapToGrid w:val="0"/>
              <w:spacing w:after="0"/>
              <w:ind w:firstLine="482"/>
              <w:rPr>
                <w:rFonts w:ascii="Times New Roman" w:eastAsia="宋体" w:hAnsi="Times New Roman"/>
                <w:bCs/>
                <w:color w:val="000000"/>
                <w:kern w:val="0"/>
                <w:szCs w:val="24"/>
                <w:lang w:eastAsia="zh-CN"/>
              </w:rPr>
            </w:pPr>
            <w:r>
              <w:rPr>
                <w:rFonts w:ascii="Times New Roman" w:eastAsia="宋体" w:hAnsi="Times New Roman" w:hint="eastAsia"/>
                <w:b/>
                <w:color w:val="000000"/>
                <w:kern w:val="0"/>
                <w:szCs w:val="24"/>
                <w:lang w:eastAsia="zh-CN"/>
              </w:rPr>
              <w:t>三是加强经济政策的国际协调，提升政策有效性。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当前全球经济增长乏力，一个非常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lastRenderedPageBreak/>
              <w:t>重要的因素在于，美国以各种理由阻碍全球化和多边主义的进一步深化。通过干预强制推动产业回流、加征关税、投资限制、科技封锁、金融制裁等各种政策显著提高了国际贸易与跨国投资的交易成本，导致全球经济碎片化，严重损害了国际经济分工与资源配置效率。特朗普第二任期的关税政策更是严重扰乱国际经贸秩序，破坏自由经济规则，将大幅削弱全球资源效率。在此背景下，世界各国急需加强贸易、财政、产业政策等的协调，减少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4"/>
                <w:lang w:eastAsia="zh-CN"/>
              </w:rPr>
              <w:t>摩擦，推动全球化健康可持续发展，提升全球资源配置效率，促进全球经济增长。如果任由美国施加关税政策，各国的货币、财政、产业等政策面临的约束将显著增加，有效性将被削弱，只能被无效地用来弥补关税战的效率损失。</w:t>
            </w:r>
          </w:p>
          <w:p w14:paraId="096191E7" w14:textId="77777777" w:rsidR="003346FE" w:rsidRDefault="003346FE">
            <w:pPr>
              <w:pStyle w:val="12"/>
              <w:widowControl w:val="0"/>
              <w:adjustRightInd w:val="0"/>
              <w:spacing w:line="336" w:lineRule="auto"/>
              <w:ind w:left="0" w:firstLine="480"/>
              <w:rPr>
                <w:rFonts w:ascii="Times New Roman" w:eastAsia="宋体" w:hAnsi="Times New Roman" w:cs="Times New Roman"/>
                <w:color w:val="000000"/>
                <w:szCs w:val="24"/>
                <w:highlight w:val="yellow"/>
                <w:lang w:eastAsia="zh-CN" w:bidi="ar-SA"/>
              </w:rPr>
            </w:pPr>
          </w:p>
        </w:tc>
      </w:tr>
      <w:bookmarkEnd w:id="1"/>
    </w:tbl>
    <w:p w14:paraId="1772C96D" w14:textId="77777777" w:rsidR="003346FE" w:rsidRDefault="003346FE">
      <w:pPr>
        <w:pStyle w:val="12"/>
        <w:adjustRightInd w:val="0"/>
        <w:snapToGrid w:val="0"/>
        <w:spacing w:before="240" w:after="0"/>
        <w:ind w:left="0" w:rightChars="-201" w:right="-482" w:firstLineChars="0" w:firstLine="0"/>
        <w:rPr>
          <w:rFonts w:ascii="Times New Roman" w:eastAsia="宋体" w:hAnsi="Times New Roman"/>
          <w:bCs/>
          <w:color w:val="000000"/>
          <w:kern w:val="0"/>
          <w:lang w:eastAsia="zh-CN"/>
        </w:rPr>
      </w:pPr>
    </w:p>
    <w:sectPr w:rsidR="003346FE"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79F0EB" w14:textId="77777777" w:rsidR="006072F2" w:rsidRDefault="006072F2">
      <w:pPr>
        <w:spacing w:line="240" w:lineRule="auto"/>
        <w:ind w:firstLine="480"/>
      </w:pPr>
      <w:r>
        <w:separator/>
      </w:r>
    </w:p>
  </w:endnote>
  <w:endnote w:type="continuationSeparator" w:id="0">
    <w:p w14:paraId="6746E595" w14:textId="77777777" w:rsidR="006072F2" w:rsidRDefault="006072F2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26617F" w14:textId="77777777" w:rsidR="003346FE" w:rsidRDefault="003346FE">
    <w:pPr>
      <w:pStyle w:val="aa"/>
      <w:spacing w:before="12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AB1687" w14:textId="77777777" w:rsidR="003346FE" w:rsidRDefault="003346FE">
    <w:pPr>
      <w:pStyle w:val="aa"/>
      <w:spacing w:before="120"/>
      <w:ind w:firstLine="360"/>
      <w:jc w:val="center"/>
    </w:pPr>
  </w:p>
  <w:p w14:paraId="2E8C0C11" w14:textId="77777777" w:rsidR="003346FE" w:rsidRDefault="003346FE">
    <w:pPr>
      <w:pStyle w:val="aa"/>
      <w:spacing w:before="12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5C18A1" w14:textId="77777777" w:rsidR="003346FE" w:rsidRDefault="003346FE">
    <w:pPr>
      <w:pStyle w:val="aa"/>
      <w:spacing w:before="120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3237638"/>
    </w:sdtPr>
    <w:sdtEndPr>
      <w:rPr>
        <w:rFonts w:ascii="Times New Roman" w:hAnsi="Times New Roman" w:cs="Times New Roman"/>
      </w:rPr>
    </w:sdtEndPr>
    <w:sdtContent>
      <w:p w14:paraId="299DA4F5" w14:textId="77777777" w:rsidR="003346FE" w:rsidRDefault="006072F2">
        <w:pPr>
          <w:pStyle w:val="aa"/>
          <w:spacing w:before="120"/>
          <w:ind w:firstLine="360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 PAGE   \* MERGEFORMAT </w:instrText>
        </w:r>
        <w:r>
          <w:rPr>
            <w:rFonts w:ascii="Times New Roman" w:hAnsi="Times New Roman" w:cs="Times New Roman"/>
          </w:rPr>
          <w:fldChar w:fldCharType="separate"/>
        </w:r>
        <w:r w:rsidR="00EF62DD" w:rsidRPr="00EF62DD">
          <w:rPr>
            <w:rFonts w:ascii="Times New Roman" w:hAnsi="Times New Roman" w:cs="Times New Roman"/>
            <w:noProof/>
            <w:lang w:val="zh-CN"/>
          </w:rPr>
          <w:t>3</w:t>
        </w:r>
        <w:r>
          <w:rPr>
            <w:rFonts w:ascii="Times New Roman" w:hAnsi="Times New Roman" w:cs="Times New Roman"/>
            <w:lang w:val="zh-C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126486" w14:textId="77777777" w:rsidR="006072F2" w:rsidRDefault="006072F2">
      <w:pPr>
        <w:spacing w:after="0"/>
        <w:ind w:firstLine="480"/>
      </w:pPr>
      <w:r>
        <w:separator/>
      </w:r>
    </w:p>
  </w:footnote>
  <w:footnote w:type="continuationSeparator" w:id="0">
    <w:p w14:paraId="6A4BCC8D" w14:textId="77777777" w:rsidR="006072F2" w:rsidRDefault="006072F2">
      <w:pPr>
        <w:spacing w:after="0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E19B2C" w14:textId="77777777" w:rsidR="003346FE" w:rsidRDefault="003346FE">
    <w:pPr>
      <w:pStyle w:val="ab"/>
      <w:spacing w:before="1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57FE8C" w14:textId="77777777" w:rsidR="003346FE" w:rsidRDefault="006072F2">
    <w:pPr>
      <w:pStyle w:val="100"/>
      <w:spacing w:before="120"/>
      <w:ind w:firstLine="480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8538C26" wp14:editId="0834355F">
              <wp:simplePos x="0" y="0"/>
              <wp:positionH relativeFrom="column">
                <wp:posOffset>-741680</wp:posOffset>
              </wp:positionH>
              <wp:positionV relativeFrom="paragraph">
                <wp:posOffset>-219710</wp:posOffset>
              </wp:positionV>
              <wp:extent cx="2515870" cy="327660"/>
              <wp:effectExtent l="0" t="0" r="0" b="0"/>
              <wp:wrapNone/>
              <wp:docPr id="8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5870" cy="3276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39E98B64" w14:textId="77777777" w:rsidR="003346FE" w:rsidRDefault="003346FE">
                          <w:pPr>
                            <w:spacing w:before="120"/>
                            <w:ind w:firstLine="480"/>
                            <w:rPr>
                              <w:szCs w:val="3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44" o:spid="_x0000_s1026" o:spt="202" type="#_x0000_t202" style="position:absolute;left:0pt;margin-left:-58.4pt;margin-top:-17.3pt;height:25.8pt;width:198.1pt;z-index:251662336;mso-width-relative:page;mso-height-relative:page;" fillcolor="#FFFFFF" filled="t" stroked="f" coordsize="21600,21600" o:gfxdata="UEsDBAoAAAAAAIdO4kAAAAAAAAAAAAAAAAAEAAAAZHJzL1BLAwQUAAAACACHTuJAFmnr0NoAAAAL&#10;AQAADwAAAGRycy9kb3ducmV2LnhtbE2PwU6DQBCG7ya+w2ZMvJh2F2woRZYeGj2YaBPR3hcYgcrO&#10;Enbb4ts7nvQ2k/ny/9/k29kO4oyT7x1piJYKBFLtmp5aDR/vT4sUhA+GGjM4Qg3f6GFbXF/lJmvc&#10;hd7wXIZWcAj5zGjoQhgzKX3doTV+6UYkvn26yZrA69TKZjIXDreDjJVKpDU9cUNnRtx1WH+VJ8u9&#10;j3M6HqqX3fG5vKuO8Z7615S0vr2J1AOIgHP4g+FXn9WhYKfKnajxYtCwiKKE3QNP96sEBCPxerMC&#10;UTG7ViCLXP7/ofgBUEsDBBQAAAAIAIdO4kCn+2EtJwIAAFsEAAAOAAAAZHJzL2Uyb0RvYy54bWyt&#10;VE1v2zAMvQ/YfxB0X5xkSdoZdYquQYYBXTeg3Q+QZTkWJosapcTOfv0oKe2y7tLDfDDEDz2S79G+&#10;uh57ww4KvQZb8dlkypmyEhptdxX//rh9d8mZD8I2woBVFT8qz6/Xb99cDa5Uc+jANAoZgVhfDq7i&#10;XQiuLAovO9ULPwGnLAVbwF4EMnFXNCgGQu9NMZ9OV8UA2DgEqbwn7yYH+QkRXwMIbaul2oDc98qG&#10;jIrKiEAj+U47z9ep27ZVMnxtW68CMxWnSUN6UxE61/FdrK9EuUPhOi1PLYjXtPBipl5oS0WfoTYi&#10;CLZH/Q9UryWChzZMJPRFHiQxQlPMpi+4eeiEU2kWotq7Z9L9/4OV94dvyHRTcZLdip4Ef1RjYB9h&#10;ZItFpGdwvqSsB0d5YSQ/LU0a1bs7kD88s3DbCbtTN4gwdEo01N4s3izOrmYcH0Hq4Qs0VEfsAySg&#10;scU+ckdsMEInaY7P0sReJDnny9ny8oJCkmLv5xerVdKuEOXTbYc+fFLQs3ioOJL0CV0c7nyI3Yjy&#10;KSUW82B0s9XGJAN39a1BdhC0Jtv05LvGdSJ7n8r5nJrw/sIwNiJZiJi5XPQkDuLYmYAw1uOJ0xqa&#10;I7GBkHeSvkg6dIC/OBtoHyvuf+4FKs7MZ0uMfpgtFnGBk7FYXszJwPNIfR4RVhJUxQNn+Xgb8tLv&#10;HepdR5WyhhZuSIVWJ4KiXLmrU9+0c2nO0/cRl/rcTll//gnr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BZp69DaAAAACwEAAA8AAAAAAAAAAQAgAAAAIgAAAGRycy9kb3ducmV2LnhtbFBLAQIUABQA&#10;AAAIAIdO4kCn+2EtJwIAAFsEAAAOAAAAAAAAAAEAIAAAACkBAABkcnMvZTJvRG9jLnhtbFBLBQYA&#10;AAAABgAGAFkBAADCBQAAAAA=&#10;">
              <v:fill on="t" opacity="0f" focussize="0,0"/>
              <v:stroke on="f"/>
              <v:imagedata o:title=""/>
              <o:lock v:ext="edit" aspectratio="f"/>
              <v:textbox>
                <w:txbxContent>
                  <w:p w14:paraId="39B25FD0">
                    <w:pPr>
                      <w:spacing w:before="120"/>
                      <w:ind w:firstLine="480"/>
                      <w:rPr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569645" w14:textId="77777777" w:rsidR="003346FE" w:rsidRDefault="003346FE">
    <w:pPr>
      <w:pStyle w:val="ab"/>
      <w:spacing w:before="12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E23243" w14:textId="77777777" w:rsidR="003346FE" w:rsidRDefault="006072F2">
    <w:pPr>
      <w:pStyle w:val="ab"/>
      <w:pBdr>
        <w:bottom w:val="none" w:sz="0" w:space="0" w:color="auto"/>
      </w:pBdr>
      <w:spacing w:before="120"/>
    </w:pPr>
    <w:r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5F02D64" wp14:editId="7A0A31C9">
              <wp:simplePos x="0" y="0"/>
              <wp:positionH relativeFrom="column">
                <wp:posOffset>4352925</wp:posOffset>
              </wp:positionH>
              <wp:positionV relativeFrom="paragraph">
                <wp:posOffset>-176530</wp:posOffset>
              </wp:positionV>
              <wp:extent cx="1428750" cy="327660"/>
              <wp:effectExtent l="0" t="0" r="0" b="0"/>
              <wp:wrapNone/>
              <wp:docPr id="6" name="文本框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8750" cy="3276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2D0E3A05" w14:textId="77777777" w:rsidR="003346FE" w:rsidRDefault="006072F2">
                          <w:pPr>
                            <w:ind w:firstLine="602"/>
                            <w:jc w:val="right"/>
                            <w:rPr>
                              <w:rFonts w:ascii="楷体" w:eastAsia="楷体" w:hAnsi="楷体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</w:pPr>
                          <w:r>
                            <w:rPr>
                              <w:rFonts w:ascii="楷体" w:eastAsia="楷体" w:hAnsi="楷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总览</w:t>
                          </w:r>
                        </w:p>
                        <w:p w14:paraId="15D4AD02" w14:textId="77777777" w:rsidR="003346FE" w:rsidRDefault="006072F2">
                          <w:pPr>
                            <w:ind w:firstLine="602"/>
                            <w:jc w:val="right"/>
                            <w:rPr>
                              <w:color w:val="106D9C"/>
                              <w:lang w:eastAsia="zh-CN"/>
                            </w:rPr>
                          </w:pPr>
                          <w:r>
                            <w:rPr>
                              <w:rFonts w:ascii="黑体" w:eastAsia="黑体" w:hAnsi="黑体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外贸专题</w:t>
                          </w:r>
                        </w:p>
                        <w:p w14:paraId="1AFDDB61" w14:textId="77777777" w:rsidR="003346FE" w:rsidRDefault="003346FE">
                          <w:pPr>
                            <w:ind w:firstLine="480"/>
                            <w:jc w:val="right"/>
                            <w:rPr>
                              <w:color w:val="106D9C"/>
                              <w:lang w:eastAsia="zh-CN"/>
                            </w:rPr>
                          </w:pPr>
                        </w:p>
                        <w:p w14:paraId="17D5CDD1" w14:textId="77777777" w:rsidR="003346FE" w:rsidRDefault="006072F2">
                          <w:pPr>
                            <w:ind w:firstLineChars="300" w:firstLine="904"/>
                            <w:jc w:val="right"/>
                            <w:rPr>
                              <w:rFonts w:ascii="黑体" w:eastAsia="黑体" w:hAnsi="黑体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外贸专题</w:t>
                          </w:r>
                        </w:p>
                        <w:p w14:paraId="00457989" w14:textId="77777777" w:rsidR="003346FE" w:rsidRDefault="003346FE">
                          <w:pPr>
                            <w:ind w:firstLine="480"/>
                            <w:jc w:val="right"/>
                            <w:rPr>
                              <w:color w:val="106D9C"/>
                              <w:lang w:eastAsia="zh-CN"/>
                            </w:rPr>
                          </w:pPr>
                        </w:p>
                        <w:p w14:paraId="04542F80" w14:textId="77777777" w:rsidR="003346FE" w:rsidRDefault="006072F2">
                          <w:pPr>
                            <w:ind w:firstLineChars="300" w:firstLine="904"/>
                            <w:jc w:val="right"/>
                            <w:rPr>
                              <w:rFonts w:ascii="黑体" w:eastAsia="黑体" w:hAnsi="黑体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外贸专题</w:t>
                          </w:r>
                        </w:p>
                        <w:p w14:paraId="2CAEF3DB" w14:textId="77777777" w:rsidR="003346FE" w:rsidRDefault="006072F2">
                          <w:pPr>
                            <w:spacing w:line="240" w:lineRule="auto"/>
                            <w:ind w:firstLine="602"/>
                            <w:jc w:val="right"/>
                            <w:rPr>
                              <w:rFonts w:ascii="黑体" w:eastAsia="黑体" w:hAnsi="黑体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中国经济专题</w:t>
                          </w:r>
                        </w:p>
                        <w:p w14:paraId="4ECDDCCE" w14:textId="77777777" w:rsidR="003346FE" w:rsidRDefault="003346FE">
                          <w:pPr>
                            <w:ind w:firstLine="480"/>
                            <w:jc w:val="right"/>
                            <w:rPr>
                              <w:color w:val="106D9C"/>
                              <w:lang w:eastAsia="zh-CN"/>
                            </w:rPr>
                          </w:pPr>
                        </w:p>
                        <w:p w14:paraId="4A9C9FFE" w14:textId="77777777" w:rsidR="003346FE" w:rsidRDefault="003346FE">
                          <w:pPr>
                            <w:ind w:firstLine="480"/>
                            <w:jc w:val="right"/>
                            <w:rPr>
                              <w:color w:val="106D9C"/>
                              <w:lang w:eastAsia="zh-CN"/>
                            </w:rPr>
                          </w:pPr>
                        </w:p>
                        <w:p w14:paraId="75B2AAA3" w14:textId="77777777" w:rsidR="003346FE" w:rsidRDefault="006072F2">
                          <w:pPr>
                            <w:ind w:firstLineChars="300" w:firstLine="904"/>
                            <w:jc w:val="right"/>
                            <w:rPr>
                              <w:rFonts w:ascii="黑体" w:eastAsia="黑体" w:hAnsi="黑体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外贸专题</w:t>
                          </w:r>
                        </w:p>
                        <w:p w14:paraId="62492779" w14:textId="77777777" w:rsidR="003346FE" w:rsidRDefault="006072F2">
                          <w:pPr>
                            <w:ind w:firstLine="602"/>
                            <w:jc w:val="right"/>
                            <w:rPr>
                              <w:color w:val="106D9C"/>
                              <w:lang w:eastAsia="zh-CN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中国经济专题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_x0000_s1026" o:spid="_x0000_s1026" o:spt="202" type="#_x0000_t202" style="position:absolute;left:0pt;margin-left:342.75pt;margin-top:-13.9pt;height:25.8pt;width:112.5pt;z-index:251664384;mso-width-relative:page;mso-height-relative:page;" fillcolor="#FFFFFF" filled="t" stroked="f" coordsize="21600,21600" o:gfxdata="UEsDBAoAAAAAAIdO4kAAAAAAAAAAAAAAAAAEAAAAZHJzL1BLAwQUAAAACACHTuJAnnFUhdgAAAAK&#10;AQAADwAAAGRycy9kb3ducmV2LnhtbE2PPU/DMBCGdyT+g3VILKi1E9SShjgdKhiQAIlAdyc+kpT4&#10;HMVuG/49xwTjvffo/Si2sxvECafQe9KQLBUIpMbbnloNH++PiwxEiIasGTyhhm8MsC0vLwqTW3+m&#10;NzxVsRVsQiE3GroYx1zK0HToTFj6EYl/n35yJvI5tdJO5szmbpCpUmvpTE+c0JkRdx02X9XRce7D&#10;nI37+nl3eKpu6kP6Sv1LRlpfXyXqHkTEOf7B8Fufq0PJnWp/JBvEoGGdrVaMalikd7yBiU2iWKk1&#10;pLcZyLKQ/yeUP1BLAwQUAAAACACHTuJAVYcj2zYCAABbBAAADgAAAGRycy9lMm9Eb2MueG1srVTN&#10;bhMxEL4j8Q6W73STkKZl1U1VWhUhlR+p8ACO17tr4fWYsZPd8gDwBpy4cOe5+hyM7SSEcumBPVge&#10;z/ib+b4Z79n52Bu2Ueg12IpPjyacKSuh1rat+McP189OOfNB2FoYsKrid8rz8+XTJ2eDK9UMOjC1&#10;QkYg1peDq3gXgiuLwstO9cIfgVOWnA1gLwKZ2BY1ioHQe1PMJpNFMQDWDkEq7+n0Kjv5FhEfAwhN&#10;o6W6ArnulQ0ZFZURgSj5TjvPl6naplEyvGsarwIzFSemIa2UhParuBbLM1G2KFyn5bYE8ZgSHnDq&#10;hbaUdA91JYJga9T/QPVaInhowpGEvshEkiLEYjp5oM1tJ5xKXEhq7/ai+/8HK99u3iPTdcUXnFnR&#10;U8Pvv3+7//Hr/udXtojyDM6XFHXrKC6ML2GkoUlUvbsB+ckzC5edsK26QIShU6Km8qbxZnFwNeP4&#10;CLIa3kBNecQ6QAIaG+yjdqQGI3Rqzd2+NWoMTMaU89npyTG5JPmez04Wi9S7QpS72w59eKWgZ3FT&#10;caTWJ3SxufEhViPKXUhM5sHo+lobkwxsV5cG2UbQmFynL981rhP5dJfO59CE9xeGsRHJQsTM6eJJ&#10;0iDSzgKEcTVuNV1BfUdqIOSZpBdJmw7wC2cDzWPF/ee1QMWZeW1J0RfT+TwOcDLmxyczMvDQszr0&#10;CCsJquKBs7y9DHno1w5121Gm3EMLF9SFRieBYrtyVdu6aeYSz+37iEN9aKeoP/+E5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ecVSF2AAAAAoBAAAPAAAAAAAAAAEAIAAAACIAAABkcnMvZG93bnJl&#10;di54bWxQSwECFAAUAAAACACHTuJAVYcj2zYCAABbBAAADgAAAAAAAAABACAAAAAnAQAAZHJzL2Uy&#10;b0RvYy54bWxQSwUGAAAAAAYABgBZAQAAzwUAAAAA&#10;">
              <v:fill on="t" opacity="0f" focussize="0,0"/>
              <v:stroke on="f"/>
              <v:imagedata o:title=""/>
              <o:lock v:ext="edit" aspectratio="f"/>
              <v:textbox>
                <w:txbxContent>
                  <w:p w14:paraId="5E1F2A95">
                    <w:pPr>
                      <w:ind w:firstLine="602"/>
                      <w:jc w:val="right"/>
                      <w:rPr>
                        <w:rFonts w:hint="eastAsia" w:ascii="楷体" w:hAnsi="楷体" w:eastAsia="楷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</w:pPr>
                    <w:r>
                      <w:rPr>
                        <w:rFonts w:hint="eastAsia" w:ascii="楷体" w:hAnsi="楷体" w:eastAsia="楷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  <w:t>总览</w:t>
                    </w:r>
                  </w:p>
                  <w:p w14:paraId="6CB18F10">
                    <w:pPr>
                      <w:ind w:firstLine="602"/>
                      <w:jc w:val="right"/>
                      <w:rPr>
                        <w:color w:val="106D9C"/>
                        <w:lang w:eastAsia="zh-CN"/>
                      </w:rPr>
                    </w:pPr>
                    <w:r>
                      <w:rPr>
                        <w:rFonts w:ascii="黑体" w:hAnsi="黑体" w:eastAsia="黑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  <w:t>外贸专题</w:t>
                    </w:r>
                  </w:p>
                  <w:p w14:paraId="72CA3918">
                    <w:pPr>
                      <w:ind w:firstLine="480"/>
                      <w:jc w:val="right"/>
                      <w:rPr>
                        <w:color w:val="106D9C"/>
                        <w:lang w:eastAsia="zh-CN"/>
                      </w:rPr>
                    </w:pPr>
                  </w:p>
                  <w:p w14:paraId="52FD374B">
                    <w:pPr>
                      <w:ind w:firstLine="904" w:firstLineChars="300"/>
                      <w:jc w:val="right"/>
                      <w:rPr>
                        <w:rFonts w:hint="eastAsia" w:ascii="黑体" w:hAnsi="黑体" w:eastAsia="黑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</w:pPr>
                    <w:r>
                      <w:rPr>
                        <w:rFonts w:hint="eastAsia" w:ascii="黑体" w:hAnsi="黑体" w:eastAsia="黑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  <w:t>外贸专题</w:t>
                    </w:r>
                  </w:p>
                  <w:p w14:paraId="573F0F89">
                    <w:pPr>
                      <w:ind w:firstLine="480"/>
                      <w:jc w:val="right"/>
                      <w:rPr>
                        <w:color w:val="106D9C"/>
                        <w:lang w:eastAsia="zh-CN"/>
                      </w:rPr>
                    </w:pPr>
                  </w:p>
                  <w:p w14:paraId="2943EC10">
                    <w:pPr>
                      <w:ind w:firstLine="904" w:firstLineChars="300"/>
                      <w:jc w:val="right"/>
                      <w:rPr>
                        <w:rFonts w:hint="eastAsia" w:ascii="黑体" w:hAnsi="黑体" w:eastAsia="黑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</w:pPr>
                    <w:r>
                      <w:rPr>
                        <w:rFonts w:hint="eastAsia" w:ascii="黑体" w:hAnsi="黑体" w:eastAsia="黑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  <w:t>外贸专题</w:t>
                    </w:r>
                  </w:p>
                  <w:p w14:paraId="2DC3EDDE">
                    <w:pPr>
                      <w:spacing w:line="240" w:lineRule="auto"/>
                      <w:ind w:firstLine="602"/>
                      <w:jc w:val="right"/>
                      <w:rPr>
                        <w:rFonts w:hint="eastAsia" w:ascii="黑体" w:hAnsi="黑体" w:eastAsia="黑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</w:pPr>
                    <w:r>
                      <w:rPr>
                        <w:rFonts w:hint="eastAsia" w:ascii="黑体" w:hAnsi="黑体" w:eastAsia="黑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  <w:t>中国经济专题</w:t>
                    </w:r>
                  </w:p>
                  <w:p w14:paraId="50891F23">
                    <w:pPr>
                      <w:ind w:firstLine="480"/>
                      <w:jc w:val="right"/>
                      <w:rPr>
                        <w:color w:val="106D9C"/>
                        <w:lang w:eastAsia="zh-CN"/>
                      </w:rPr>
                    </w:pPr>
                  </w:p>
                  <w:p w14:paraId="377C521D">
                    <w:pPr>
                      <w:ind w:firstLine="480"/>
                      <w:jc w:val="right"/>
                      <w:rPr>
                        <w:color w:val="106D9C"/>
                        <w:lang w:eastAsia="zh-CN"/>
                      </w:rPr>
                    </w:pPr>
                  </w:p>
                  <w:p w14:paraId="3766F88E">
                    <w:pPr>
                      <w:ind w:firstLine="904" w:firstLineChars="300"/>
                      <w:jc w:val="right"/>
                      <w:rPr>
                        <w:rFonts w:hint="eastAsia" w:ascii="黑体" w:hAnsi="黑体" w:eastAsia="黑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</w:pPr>
                    <w:r>
                      <w:rPr>
                        <w:rFonts w:hint="eastAsia" w:ascii="黑体" w:hAnsi="黑体" w:eastAsia="黑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  <w:t>外贸专题</w:t>
                    </w:r>
                  </w:p>
                  <w:p w14:paraId="045A2725">
                    <w:pPr>
                      <w:ind w:firstLine="602"/>
                      <w:jc w:val="right"/>
                      <w:rPr>
                        <w:color w:val="106D9C"/>
                        <w:lang w:eastAsia="zh-CN"/>
                      </w:rPr>
                    </w:pPr>
                    <w:r>
                      <w:rPr>
                        <w:rFonts w:hint="eastAsia" w:ascii="黑体" w:hAnsi="黑体" w:eastAsia="黑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  <w:t>中国经济专题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24F1C4" wp14:editId="485BCEE2">
              <wp:simplePos x="0" y="0"/>
              <wp:positionH relativeFrom="column">
                <wp:posOffset>-537845</wp:posOffset>
              </wp:positionH>
              <wp:positionV relativeFrom="paragraph">
                <wp:posOffset>-175260</wp:posOffset>
              </wp:positionV>
              <wp:extent cx="3418205" cy="327660"/>
              <wp:effectExtent l="0" t="0" r="0" b="0"/>
              <wp:wrapNone/>
              <wp:docPr id="16" name="文本框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8205" cy="3276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57FCCE58" w14:textId="77777777" w:rsidR="003346FE" w:rsidRDefault="006072F2">
                          <w:pPr>
                            <w:ind w:firstLineChars="0" w:firstLine="0"/>
                            <w:rPr>
                              <w:rFonts w:ascii="Times New Roman" w:eastAsia="楷体" w:hAnsi="Times New Roman" w:cs="Times New Roman"/>
                              <w:color w:val="106D9C"/>
                              <w:lang w:eastAsia="zh-CN"/>
                            </w:rPr>
                          </w:pPr>
                          <w:r>
                            <w:rPr>
                              <w:rFonts w:ascii="Times New Roman" w:eastAsia="楷体" w:hAnsi="Times New Roman" w:cs="Times New Roman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CEEM</w:t>
                          </w:r>
                          <w:r>
                            <w:rPr>
                              <w:rFonts w:ascii="Times New Roman" w:eastAsia="楷体" w:hAnsi="Times New Roman" w:cs="Times New Roman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全球宏观经济季度报告</w:t>
                          </w:r>
                        </w:p>
                        <w:p w14:paraId="1884F517" w14:textId="77777777" w:rsidR="003346FE" w:rsidRDefault="006072F2">
                          <w:pPr>
                            <w:ind w:firstLineChars="0" w:firstLine="0"/>
                            <w:rPr>
                              <w:color w:val="106D9C"/>
                              <w:lang w:eastAsia="zh-CN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CEEM</w:t>
                          </w: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全球宏观经济季度报告（专题）</w:t>
                          </w:r>
                        </w:p>
                        <w:p w14:paraId="3FBB3525" w14:textId="77777777" w:rsidR="003346FE" w:rsidRDefault="006072F2">
                          <w:pPr>
                            <w:ind w:firstLineChars="0" w:firstLine="0"/>
                            <w:rPr>
                              <w:color w:val="106D9C"/>
                              <w:lang w:eastAsia="zh-CN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CEEM</w:t>
                          </w: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全球宏观经济季度报告（专题）</w:t>
                          </w:r>
                        </w:p>
                        <w:p w14:paraId="0BF2925A" w14:textId="77777777" w:rsidR="003346FE" w:rsidRDefault="003346FE">
                          <w:pPr>
                            <w:ind w:firstLine="480"/>
                            <w:rPr>
                              <w:color w:val="106D9C"/>
                              <w:lang w:eastAsia="zh-CN"/>
                            </w:rPr>
                          </w:pPr>
                        </w:p>
                        <w:p w14:paraId="73E54C3A" w14:textId="77777777" w:rsidR="003346FE" w:rsidRDefault="003346FE">
                          <w:pPr>
                            <w:ind w:firstLine="480"/>
                            <w:rPr>
                              <w:color w:val="106D9C"/>
                              <w:lang w:eastAsia="zh-CN"/>
                            </w:rPr>
                          </w:pPr>
                        </w:p>
                        <w:p w14:paraId="3EAA3C7D" w14:textId="77777777" w:rsidR="003346FE" w:rsidRDefault="003346FE">
                          <w:pPr>
                            <w:ind w:firstLine="480"/>
                            <w:rPr>
                              <w:color w:val="106D9C"/>
                              <w:lang w:eastAsia="zh-CN"/>
                            </w:rPr>
                          </w:pPr>
                        </w:p>
                        <w:p w14:paraId="23DF6526" w14:textId="77777777" w:rsidR="003346FE" w:rsidRDefault="006072F2">
                          <w:pPr>
                            <w:ind w:firstLineChars="0" w:firstLine="0"/>
                            <w:rPr>
                              <w:color w:val="106D9C"/>
                              <w:lang w:eastAsia="zh-CN"/>
                            </w:rPr>
                          </w:pPr>
                          <w:r>
                            <w:rPr>
                              <w:rFonts w:ascii="黑体" w:eastAsia="黑体" w:hAnsi="黑体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C</w:t>
                          </w: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EEM</w:t>
                          </w: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全球宏观经济季度报告（专题）</w:t>
                          </w:r>
                        </w:p>
                        <w:p w14:paraId="4C381F32" w14:textId="77777777" w:rsidR="003346FE" w:rsidRDefault="006072F2">
                          <w:pPr>
                            <w:ind w:firstLine="602"/>
                            <w:rPr>
                              <w:color w:val="106D9C"/>
                              <w:lang w:eastAsia="zh-CN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CEEM</w:t>
                          </w: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全球宏观经济季度报告（下篇）</w:t>
                          </w:r>
                        </w:p>
                        <w:p w14:paraId="2011AA71" w14:textId="77777777" w:rsidR="003346FE" w:rsidRDefault="006072F2">
                          <w:pPr>
                            <w:ind w:firstLineChars="0" w:firstLine="0"/>
                            <w:rPr>
                              <w:color w:val="106D9C"/>
                              <w:lang w:eastAsia="zh-CN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CEEM</w:t>
                          </w: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全球宏观经济季度报告（专题）</w:t>
                          </w:r>
                        </w:p>
                        <w:p w14:paraId="60C46C64" w14:textId="77777777" w:rsidR="003346FE" w:rsidRDefault="006072F2">
                          <w:pPr>
                            <w:ind w:firstLineChars="0" w:firstLine="0"/>
                            <w:rPr>
                              <w:color w:val="106D9C"/>
                              <w:lang w:eastAsia="zh-CN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CEEM</w:t>
                          </w: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全球宏观经济季度报告（专题）</w:t>
                          </w:r>
                        </w:p>
                        <w:p w14:paraId="6A7F3322" w14:textId="77777777" w:rsidR="003346FE" w:rsidRDefault="003346FE">
                          <w:pPr>
                            <w:ind w:firstLine="480"/>
                            <w:rPr>
                              <w:color w:val="106D9C"/>
                              <w:lang w:eastAsia="zh-CN"/>
                            </w:rPr>
                          </w:pPr>
                        </w:p>
                        <w:p w14:paraId="2CD99464" w14:textId="77777777" w:rsidR="003346FE" w:rsidRDefault="003346FE">
                          <w:pPr>
                            <w:ind w:firstLine="480"/>
                            <w:rPr>
                              <w:color w:val="106D9C"/>
                              <w:lang w:eastAsia="zh-CN"/>
                            </w:rPr>
                          </w:pPr>
                        </w:p>
                        <w:p w14:paraId="321E8F87" w14:textId="77777777" w:rsidR="003346FE" w:rsidRDefault="003346FE">
                          <w:pPr>
                            <w:ind w:firstLine="480"/>
                            <w:rPr>
                              <w:color w:val="106D9C"/>
                              <w:lang w:eastAsia="zh-CN"/>
                            </w:rPr>
                          </w:pPr>
                        </w:p>
                        <w:p w14:paraId="597507A8" w14:textId="77777777" w:rsidR="003346FE" w:rsidRDefault="006072F2">
                          <w:pPr>
                            <w:ind w:firstLineChars="0" w:firstLine="0"/>
                            <w:rPr>
                              <w:color w:val="106D9C"/>
                              <w:lang w:eastAsia="zh-CN"/>
                            </w:rPr>
                          </w:pPr>
                          <w:r>
                            <w:rPr>
                              <w:rFonts w:ascii="黑体" w:eastAsia="黑体" w:hAnsi="黑体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C</w:t>
                          </w: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EEM</w:t>
                          </w: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全球宏观经济季度报告（专题）</w:t>
                          </w:r>
                        </w:p>
                        <w:p w14:paraId="79B39B28" w14:textId="77777777" w:rsidR="003346FE" w:rsidRDefault="006072F2">
                          <w:pPr>
                            <w:ind w:firstLine="602"/>
                            <w:rPr>
                              <w:color w:val="106D9C"/>
                              <w:lang w:eastAsia="zh-CN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CEEM</w:t>
                          </w: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全球宏观经济季度报告（下篇）</w:t>
                          </w:r>
                        </w:p>
                        <w:p w14:paraId="7A5459A5" w14:textId="77777777" w:rsidR="003346FE" w:rsidRDefault="003346FE">
                          <w:pPr>
                            <w:ind w:firstLine="480"/>
                            <w:rPr>
                              <w:color w:val="106D9C"/>
                              <w:lang w:eastAsia="zh-CN"/>
                            </w:rPr>
                          </w:pPr>
                        </w:p>
                        <w:p w14:paraId="1100028F" w14:textId="77777777" w:rsidR="003346FE" w:rsidRDefault="006072F2">
                          <w:pPr>
                            <w:ind w:firstLineChars="0" w:firstLine="0"/>
                            <w:rPr>
                              <w:color w:val="106D9C"/>
                              <w:lang w:eastAsia="zh-CN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CEEM</w:t>
                          </w: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全球宏观经济季度报告（专题）</w:t>
                          </w:r>
                        </w:p>
                        <w:p w14:paraId="486EE5EA" w14:textId="77777777" w:rsidR="003346FE" w:rsidRDefault="003346FE">
                          <w:pPr>
                            <w:ind w:firstLine="480"/>
                            <w:rPr>
                              <w:color w:val="106D9C"/>
                              <w:lang w:eastAsia="zh-CN"/>
                            </w:rPr>
                          </w:pPr>
                        </w:p>
                        <w:p w14:paraId="6177242A" w14:textId="77777777" w:rsidR="003346FE" w:rsidRDefault="006072F2">
                          <w:pPr>
                            <w:ind w:firstLineChars="0" w:firstLine="0"/>
                            <w:rPr>
                              <w:color w:val="106D9C"/>
                              <w:lang w:eastAsia="zh-CN"/>
                            </w:rPr>
                          </w:pPr>
                          <w:r>
                            <w:rPr>
                              <w:rFonts w:ascii="黑体" w:eastAsia="黑体" w:hAnsi="黑体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C</w:t>
                          </w: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EEM</w:t>
                          </w: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全球宏观经济季度报告（专题）</w:t>
                          </w:r>
                        </w:p>
                        <w:p w14:paraId="32B33726" w14:textId="77777777" w:rsidR="003346FE" w:rsidRDefault="006072F2">
                          <w:pPr>
                            <w:spacing w:line="240" w:lineRule="auto"/>
                            <w:ind w:firstLineChars="0" w:firstLine="0"/>
                            <w:rPr>
                              <w:rFonts w:ascii="黑体" w:eastAsia="黑体" w:hAnsi="黑体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CEEM</w:t>
                          </w: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全球宏观经济季度报告（下篇）</w:t>
                          </w:r>
                        </w:p>
                        <w:p w14:paraId="2057891E" w14:textId="77777777" w:rsidR="003346FE" w:rsidRDefault="003346FE">
                          <w:pPr>
                            <w:ind w:firstLine="480"/>
                            <w:rPr>
                              <w:color w:val="106D9C"/>
                              <w:lang w:eastAsia="zh-CN"/>
                            </w:rPr>
                          </w:pPr>
                        </w:p>
                        <w:p w14:paraId="59341558" w14:textId="77777777" w:rsidR="003346FE" w:rsidRDefault="006072F2">
                          <w:pPr>
                            <w:ind w:firstLineChars="0" w:firstLine="0"/>
                            <w:rPr>
                              <w:color w:val="106D9C"/>
                              <w:lang w:eastAsia="zh-CN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CEEM</w:t>
                          </w: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全球宏观经济季度报告（专题）</w:t>
                          </w:r>
                        </w:p>
                        <w:p w14:paraId="3E23BBD1" w14:textId="77777777" w:rsidR="003346FE" w:rsidRDefault="006072F2">
                          <w:pPr>
                            <w:spacing w:line="240" w:lineRule="auto"/>
                            <w:ind w:firstLineChars="0" w:firstLine="0"/>
                            <w:rPr>
                              <w:rFonts w:ascii="黑体" w:eastAsia="黑体" w:hAnsi="黑体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CEEM</w:t>
                          </w: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全球宏观经济季度报告（下篇）</w:t>
                          </w:r>
                        </w:p>
                        <w:p w14:paraId="7BE91B83" w14:textId="77777777" w:rsidR="003346FE" w:rsidRDefault="003346FE">
                          <w:pPr>
                            <w:ind w:firstLine="480"/>
                            <w:rPr>
                              <w:color w:val="106D9C"/>
                              <w:lang w:eastAsia="zh-CN"/>
                            </w:rPr>
                          </w:pPr>
                        </w:p>
                        <w:p w14:paraId="38D16195" w14:textId="77777777" w:rsidR="003346FE" w:rsidRDefault="003346FE">
                          <w:pPr>
                            <w:ind w:firstLine="480"/>
                            <w:rPr>
                              <w:color w:val="106D9C"/>
                              <w:lang w:eastAsia="zh-CN"/>
                            </w:rPr>
                          </w:pPr>
                        </w:p>
                        <w:p w14:paraId="539967AC" w14:textId="77777777" w:rsidR="003346FE" w:rsidRDefault="003346FE">
                          <w:pPr>
                            <w:ind w:firstLine="480"/>
                            <w:rPr>
                              <w:color w:val="106D9C"/>
                              <w:lang w:eastAsia="zh-CN"/>
                            </w:rPr>
                          </w:pPr>
                        </w:p>
                        <w:p w14:paraId="3F2B0375" w14:textId="77777777" w:rsidR="003346FE" w:rsidRDefault="006072F2">
                          <w:pPr>
                            <w:ind w:firstLineChars="0" w:firstLine="0"/>
                            <w:rPr>
                              <w:color w:val="106D9C"/>
                              <w:lang w:eastAsia="zh-CN"/>
                            </w:rPr>
                          </w:pPr>
                          <w:r>
                            <w:rPr>
                              <w:rFonts w:ascii="黑体" w:eastAsia="黑体" w:hAnsi="黑体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C</w:t>
                          </w: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EEM</w:t>
                          </w: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全球宏观经济季度报告（专题）</w:t>
                          </w:r>
                        </w:p>
                        <w:p w14:paraId="70306E67" w14:textId="77777777" w:rsidR="003346FE" w:rsidRDefault="006072F2">
                          <w:pPr>
                            <w:ind w:firstLine="602"/>
                            <w:rPr>
                              <w:color w:val="106D9C"/>
                              <w:lang w:eastAsia="zh-CN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CEEM</w:t>
                          </w:r>
                          <w:r>
                            <w:rPr>
                              <w:rFonts w:ascii="黑体" w:eastAsia="黑体" w:hAnsi="黑体" w:hint="eastAsia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全球宏观经济季度报告（下篇</w:t>
                          </w:r>
                          <w:r>
                            <w:rPr>
                              <w:rFonts w:ascii="黑体" w:eastAsia="黑体" w:hAnsi="黑体"/>
                              <w:b/>
                              <w:color w:val="106D9C"/>
                              <w:sz w:val="30"/>
                              <w:szCs w:val="30"/>
                              <w:lang w:eastAsia="zh-CN"/>
                            </w:rPr>
                            <w:t>）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_x0000_s1026" o:spid="_x0000_s1026" o:spt="202" type="#_x0000_t202" style="position:absolute;left:0pt;margin-left:-42.35pt;margin-top:-13.8pt;height:25.8pt;width:269.15pt;z-index:251663360;mso-width-relative:page;mso-height-relative:page;" fillcolor="#FFFFFF" filled="t" stroked="f" coordsize="21600,21600" o:gfxdata="UEsDBAoAAAAAAIdO4kAAAAAAAAAAAAAAAAAEAAAAZHJzL1BLAwQUAAAACACHTuJAi+wkOdgAAAAK&#10;AQAADwAAAGRycy9kb3ducmV2LnhtbE2PPU/DMBCGdyT+g3VILKi1G0IbhTgdKhiQoBIBdic+kpT4&#10;HMVuG/49xwTbe7pH70exnd0gTjiF3pOG1VKBQGq87anV8P72uMhAhGjImsETavjGANvy8qIwufVn&#10;esVTFVvBJhRyo6GLccylDE2HzoSlH5H49+knZyKfUyvtZM5s7gaZKLWWzvTECZ0Zcddh81UdHec+&#10;zNn4UT/vDk/VTX1I9tS/ZKT19dVK3YOIOMc/GH7rc3UouVPtj2SDGDQssnTDKItkswbBRHp3y6LW&#10;kKQKZFnI/xPKH1BLAwQUAAAACACHTuJAFLbMoTgCAABdBAAADgAAAGRycy9lMm9Eb2MueG1srVRL&#10;btswEN0X6B0I7hvZjuOkQuQgdZCiQPoB0h6ApiiLKMVhh7Sl9ADNDbrqpvuey+fokLRTN91kUS0E&#10;zodv5r0Z6fxi6AzbKPQabMXHRyPOlJVQa7uq+KeP1y/OOPNB2FoYsKrid8rzi/nzZ+e9K9UEWjC1&#10;QkYg1pe9q3gbgiuLwstWdcIfgVOWgg1gJwKZuCpqFD2hd6aYjEazogesHYJU3pP3Kgf5DhGfAghN&#10;o6W6ArnulA0ZFZURgSj5VjvP56nbplEyvG8arwIzFSemIb2pCJ2X8V3Mz0W5QuFaLXctiKe08IhT&#10;J7Slog9QVyIItkb9D1SnJYKHJhxJ6IpMJClCLMajR9rctsKpxIWk9u5BdP//YOW7zQdkuqZNmHFm&#10;RUcT336/3/74tf35jZGPBOqdLynv1lFmGF7BQMmJrHc3ID97ZmHRCrtSl4jQt0rU1OA43iwOrmYc&#10;H0GW/VuoqZBYB0hAQ4NdVI/0YIROw7l7GI4aApPkPJ6OzyajE84kxY4np7NZml4hyv1thz68VtCx&#10;eKg40vATutjc+BC7EeU+JRbzYHR9rY1JBq6WC4NsI2hRrtOT7xrXiuzdl/M5NeH9hWFsRLIQMXO5&#10;6EkaRNpZgDAsh52mS6jvSA2EvJX0TdKhBfzKWU8bWXH/ZS1QcWbeWFL05Xg6jSucjOnJ6YQMPIws&#10;DyPCSoKqeOAsHxchr/3aoV61VCnP0MIlTaHRSaA4rtzVrm/ausRz94XEtT60U9afv8L8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IvsJDnYAAAACgEAAA8AAAAAAAAAAQAgAAAAIgAAAGRycy9kb3du&#10;cmV2LnhtbFBLAQIUABQAAAAIAIdO4kAUtsyhOAIAAF0EAAAOAAAAAAAAAAEAIAAAACcBAABkcnMv&#10;ZTJvRG9jLnhtbFBLBQYAAAAABgAGAFkBAADRBQAAAAA=&#10;">
              <v:fill on="t" opacity="0f" focussize="0,0"/>
              <v:stroke on="f"/>
              <v:imagedata o:title=""/>
              <o:lock v:ext="edit" aspectratio="f"/>
              <v:textbox>
                <w:txbxContent>
                  <w:p w14:paraId="3B472F22">
                    <w:pPr>
                      <w:ind w:firstLine="0" w:firstLineChars="0"/>
                      <w:rPr>
                        <w:rFonts w:ascii="Times New Roman" w:hAnsi="Times New Roman" w:eastAsia="楷体" w:cs="Times New Roman"/>
                        <w:color w:val="106D9C"/>
                        <w:lang w:eastAsia="zh-CN"/>
                      </w:rPr>
                    </w:pPr>
                    <w:r>
                      <w:rPr>
                        <w:rFonts w:ascii="Times New Roman" w:hAnsi="Times New Roman" w:eastAsia="楷体" w:cs="Times New Roman"/>
                        <w:b/>
                        <w:color w:val="106D9C"/>
                        <w:sz w:val="30"/>
                        <w:szCs w:val="30"/>
                        <w:lang w:eastAsia="zh-CN"/>
                      </w:rPr>
                      <w:t>CEEM全球宏观经济季度报告</w:t>
                    </w:r>
                  </w:p>
                  <w:p w14:paraId="34E81141">
                    <w:pPr>
                      <w:ind w:firstLine="0" w:firstLineChars="0"/>
                      <w:rPr>
                        <w:color w:val="106D9C"/>
                        <w:lang w:eastAsia="zh-CN"/>
                      </w:rPr>
                    </w:pPr>
                    <w:r>
                      <w:rPr>
                        <w:rFonts w:hint="eastAsia" w:ascii="黑体" w:hAnsi="黑体" w:eastAsia="黑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  <w:t>CEEM全球宏观经济季度报告（专题）</w:t>
                    </w:r>
                  </w:p>
                  <w:p w14:paraId="45EAC5A7">
                    <w:pPr>
                      <w:ind w:firstLine="0" w:firstLineChars="0"/>
                      <w:rPr>
                        <w:color w:val="106D9C"/>
                        <w:lang w:eastAsia="zh-CN"/>
                      </w:rPr>
                    </w:pPr>
                    <w:r>
                      <w:rPr>
                        <w:rFonts w:hint="eastAsia" w:ascii="黑体" w:hAnsi="黑体" w:eastAsia="黑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  <w:t>CEEM全球宏观经济季度报告（专题）</w:t>
                    </w:r>
                  </w:p>
                  <w:p w14:paraId="5AAD65BE">
                    <w:pPr>
                      <w:ind w:firstLine="480"/>
                      <w:rPr>
                        <w:color w:val="106D9C"/>
                        <w:lang w:eastAsia="zh-CN"/>
                      </w:rPr>
                    </w:pPr>
                  </w:p>
                  <w:p w14:paraId="49250E34">
                    <w:pPr>
                      <w:ind w:firstLine="480"/>
                      <w:rPr>
                        <w:color w:val="106D9C"/>
                        <w:lang w:eastAsia="zh-CN"/>
                      </w:rPr>
                    </w:pPr>
                  </w:p>
                  <w:p w14:paraId="2D9EB51D">
                    <w:pPr>
                      <w:ind w:firstLine="480"/>
                      <w:rPr>
                        <w:color w:val="106D9C"/>
                        <w:lang w:eastAsia="zh-CN"/>
                      </w:rPr>
                    </w:pPr>
                  </w:p>
                  <w:p w14:paraId="3C96D34E">
                    <w:pPr>
                      <w:ind w:firstLine="0" w:firstLineChars="0"/>
                      <w:rPr>
                        <w:color w:val="106D9C"/>
                        <w:lang w:eastAsia="zh-CN"/>
                      </w:rPr>
                    </w:pPr>
                    <w:r>
                      <w:rPr>
                        <w:rFonts w:ascii="黑体" w:hAnsi="黑体" w:eastAsia="黑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  <w:t>C</w:t>
                    </w:r>
                    <w:r>
                      <w:rPr>
                        <w:rFonts w:hint="eastAsia" w:ascii="黑体" w:hAnsi="黑体" w:eastAsia="黑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  <w:t>EEM全球宏观经济季度报告（专题）</w:t>
                    </w:r>
                  </w:p>
                  <w:p w14:paraId="013532E7">
                    <w:pPr>
                      <w:ind w:firstLine="602"/>
                      <w:rPr>
                        <w:color w:val="106D9C"/>
                        <w:lang w:eastAsia="zh-CN"/>
                      </w:rPr>
                    </w:pPr>
                    <w:r>
                      <w:rPr>
                        <w:rFonts w:hint="eastAsia" w:ascii="黑体" w:hAnsi="黑体" w:eastAsia="黑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  <w:t>CEEM全球宏观经济季度报告（下篇）</w:t>
                    </w:r>
                  </w:p>
                  <w:p w14:paraId="70EE7A0B">
                    <w:pPr>
                      <w:ind w:firstLine="0" w:firstLineChars="0"/>
                      <w:rPr>
                        <w:color w:val="106D9C"/>
                        <w:lang w:eastAsia="zh-CN"/>
                      </w:rPr>
                    </w:pPr>
                    <w:r>
                      <w:rPr>
                        <w:rFonts w:hint="eastAsia" w:ascii="黑体" w:hAnsi="黑体" w:eastAsia="黑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  <w:t>CEEM全球宏观经济季度报告（专题）</w:t>
                    </w:r>
                  </w:p>
                  <w:p w14:paraId="07CCE5B2">
                    <w:pPr>
                      <w:ind w:firstLine="0" w:firstLineChars="0"/>
                      <w:rPr>
                        <w:color w:val="106D9C"/>
                        <w:lang w:eastAsia="zh-CN"/>
                      </w:rPr>
                    </w:pPr>
                    <w:r>
                      <w:rPr>
                        <w:rFonts w:hint="eastAsia" w:ascii="黑体" w:hAnsi="黑体" w:eastAsia="黑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  <w:t>CEEM全球宏观经济季度报告（专题）</w:t>
                    </w:r>
                  </w:p>
                  <w:p w14:paraId="5A9499AE">
                    <w:pPr>
                      <w:ind w:firstLine="480"/>
                      <w:rPr>
                        <w:color w:val="106D9C"/>
                        <w:lang w:eastAsia="zh-CN"/>
                      </w:rPr>
                    </w:pPr>
                  </w:p>
                  <w:p w14:paraId="11D89503">
                    <w:pPr>
                      <w:ind w:firstLine="480"/>
                      <w:rPr>
                        <w:color w:val="106D9C"/>
                        <w:lang w:eastAsia="zh-CN"/>
                      </w:rPr>
                    </w:pPr>
                  </w:p>
                  <w:p w14:paraId="3CD93DAD">
                    <w:pPr>
                      <w:ind w:firstLine="480"/>
                      <w:rPr>
                        <w:color w:val="106D9C"/>
                        <w:lang w:eastAsia="zh-CN"/>
                      </w:rPr>
                    </w:pPr>
                  </w:p>
                  <w:p w14:paraId="751FE86A">
                    <w:pPr>
                      <w:ind w:firstLine="0" w:firstLineChars="0"/>
                      <w:rPr>
                        <w:color w:val="106D9C"/>
                        <w:lang w:eastAsia="zh-CN"/>
                      </w:rPr>
                    </w:pPr>
                    <w:r>
                      <w:rPr>
                        <w:rFonts w:ascii="黑体" w:hAnsi="黑体" w:eastAsia="黑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  <w:t>C</w:t>
                    </w:r>
                    <w:r>
                      <w:rPr>
                        <w:rFonts w:hint="eastAsia" w:ascii="黑体" w:hAnsi="黑体" w:eastAsia="黑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  <w:t>EEM全球宏观经济季度报告（专题）</w:t>
                    </w:r>
                  </w:p>
                  <w:p w14:paraId="64243127">
                    <w:pPr>
                      <w:ind w:firstLine="602"/>
                      <w:rPr>
                        <w:color w:val="106D9C"/>
                        <w:lang w:eastAsia="zh-CN"/>
                      </w:rPr>
                    </w:pPr>
                    <w:r>
                      <w:rPr>
                        <w:rFonts w:hint="eastAsia" w:ascii="黑体" w:hAnsi="黑体" w:eastAsia="黑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  <w:t>CEEM全球宏观经济季度报告（下篇）</w:t>
                    </w:r>
                  </w:p>
                  <w:p w14:paraId="5B7E8EBE">
                    <w:pPr>
                      <w:ind w:firstLine="480"/>
                      <w:rPr>
                        <w:color w:val="106D9C"/>
                        <w:lang w:eastAsia="zh-CN"/>
                      </w:rPr>
                    </w:pPr>
                  </w:p>
                  <w:p w14:paraId="2136E63E">
                    <w:pPr>
                      <w:ind w:firstLine="0" w:firstLineChars="0"/>
                      <w:rPr>
                        <w:color w:val="106D9C"/>
                        <w:lang w:eastAsia="zh-CN"/>
                      </w:rPr>
                    </w:pPr>
                    <w:r>
                      <w:rPr>
                        <w:rFonts w:hint="eastAsia" w:ascii="黑体" w:hAnsi="黑体" w:eastAsia="黑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  <w:t>CEEM全球宏观经济季度报告（专题）</w:t>
                    </w:r>
                  </w:p>
                  <w:p w14:paraId="522B9C7C">
                    <w:pPr>
                      <w:ind w:firstLine="480"/>
                      <w:rPr>
                        <w:color w:val="106D9C"/>
                        <w:lang w:eastAsia="zh-CN"/>
                      </w:rPr>
                    </w:pPr>
                  </w:p>
                  <w:p w14:paraId="6E1F1138">
                    <w:pPr>
                      <w:ind w:firstLine="0" w:firstLineChars="0"/>
                      <w:rPr>
                        <w:color w:val="106D9C"/>
                        <w:lang w:eastAsia="zh-CN"/>
                      </w:rPr>
                    </w:pPr>
                    <w:r>
                      <w:rPr>
                        <w:rFonts w:ascii="黑体" w:hAnsi="黑体" w:eastAsia="黑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  <w:t>C</w:t>
                    </w:r>
                    <w:r>
                      <w:rPr>
                        <w:rFonts w:hint="eastAsia" w:ascii="黑体" w:hAnsi="黑体" w:eastAsia="黑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  <w:t>EEM全球宏观经济季度报告（专题）</w:t>
                    </w:r>
                  </w:p>
                  <w:p w14:paraId="38E478D2">
                    <w:pPr>
                      <w:spacing w:line="240" w:lineRule="auto"/>
                      <w:ind w:firstLine="0" w:firstLineChars="0"/>
                      <w:rPr>
                        <w:rFonts w:hint="eastAsia" w:ascii="黑体" w:hAnsi="黑体" w:eastAsia="黑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</w:pPr>
                    <w:r>
                      <w:rPr>
                        <w:rFonts w:hint="eastAsia" w:ascii="黑体" w:hAnsi="黑体" w:eastAsia="黑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  <w:t>CEEM全球宏观经济季度报告（下篇）</w:t>
                    </w:r>
                  </w:p>
                  <w:p w14:paraId="2FFBE449">
                    <w:pPr>
                      <w:ind w:firstLine="480"/>
                      <w:rPr>
                        <w:color w:val="106D9C"/>
                        <w:lang w:eastAsia="zh-CN"/>
                      </w:rPr>
                    </w:pPr>
                  </w:p>
                  <w:p w14:paraId="6D718FBF">
                    <w:pPr>
                      <w:ind w:firstLine="0" w:firstLineChars="0"/>
                      <w:rPr>
                        <w:color w:val="106D9C"/>
                        <w:lang w:eastAsia="zh-CN"/>
                      </w:rPr>
                    </w:pPr>
                    <w:r>
                      <w:rPr>
                        <w:rFonts w:hint="eastAsia" w:ascii="黑体" w:hAnsi="黑体" w:eastAsia="黑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  <w:t>CEEM全球宏观经济季度报告（专题）</w:t>
                    </w:r>
                  </w:p>
                  <w:p w14:paraId="38A47A50">
                    <w:pPr>
                      <w:spacing w:line="240" w:lineRule="auto"/>
                      <w:ind w:firstLine="0" w:firstLineChars="0"/>
                      <w:rPr>
                        <w:rFonts w:hint="eastAsia" w:ascii="黑体" w:hAnsi="黑体" w:eastAsia="黑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</w:pPr>
                    <w:r>
                      <w:rPr>
                        <w:rFonts w:hint="eastAsia" w:ascii="黑体" w:hAnsi="黑体" w:eastAsia="黑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  <w:t>CEEM全球宏观经济季度报告（下篇）</w:t>
                    </w:r>
                  </w:p>
                  <w:p w14:paraId="18F52682">
                    <w:pPr>
                      <w:ind w:firstLine="480"/>
                      <w:rPr>
                        <w:color w:val="106D9C"/>
                        <w:lang w:eastAsia="zh-CN"/>
                      </w:rPr>
                    </w:pPr>
                  </w:p>
                  <w:p w14:paraId="0FD2FBBB">
                    <w:pPr>
                      <w:ind w:firstLine="480"/>
                      <w:rPr>
                        <w:color w:val="106D9C"/>
                        <w:lang w:eastAsia="zh-CN"/>
                      </w:rPr>
                    </w:pPr>
                  </w:p>
                  <w:p w14:paraId="2C0FF8BF">
                    <w:pPr>
                      <w:ind w:firstLine="480"/>
                      <w:rPr>
                        <w:color w:val="106D9C"/>
                        <w:lang w:eastAsia="zh-CN"/>
                      </w:rPr>
                    </w:pPr>
                  </w:p>
                  <w:p w14:paraId="7BC6799F">
                    <w:pPr>
                      <w:ind w:firstLine="0" w:firstLineChars="0"/>
                      <w:rPr>
                        <w:color w:val="106D9C"/>
                        <w:lang w:eastAsia="zh-CN"/>
                      </w:rPr>
                    </w:pPr>
                    <w:r>
                      <w:rPr>
                        <w:rFonts w:ascii="黑体" w:hAnsi="黑体" w:eastAsia="黑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  <w:t>C</w:t>
                    </w:r>
                    <w:r>
                      <w:rPr>
                        <w:rFonts w:hint="eastAsia" w:ascii="黑体" w:hAnsi="黑体" w:eastAsia="黑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  <w:t>EEM全球宏观经济季度报告（专题）</w:t>
                    </w:r>
                  </w:p>
                  <w:p w14:paraId="0834B87C">
                    <w:pPr>
                      <w:ind w:firstLine="602"/>
                      <w:rPr>
                        <w:color w:val="106D9C"/>
                        <w:lang w:eastAsia="zh-CN"/>
                      </w:rPr>
                    </w:pPr>
                    <w:r>
                      <w:rPr>
                        <w:rFonts w:hint="eastAsia" w:ascii="黑体" w:hAnsi="黑体" w:eastAsia="黑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  <w:t>CEEM全球宏观经济季度报告（下篇</w:t>
                    </w:r>
                    <w:r>
                      <w:rPr>
                        <w:rFonts w:ascii="黑体" w:hAnsi="黑体" w:eastAsia="黑体"/>
                        <w:b/>
                        <w:color w:val="106D9C"/>
                        <w:sz w:val="30"/>
                        <w:szCs w:val="30"/>
                        <w:lang w:eastAsia="zh-CN"/>
                      </w:rPr>
                      <w:t>）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1C967D" wp14:editId="34C5D97B">
              <wp:simplePos x="0" y="0"/>
              <wp:positionH relativeFrom="margin">
                <wp:align>center</wp:align>
              </wp:positionH>
              <wp:positionV relativeFrom="paragraph">
                <wp:posOffset>126365</wp:posOffset>
              </wp:positionV>
              <wp:extent cx="6120130" cy="0"/>
              <wp:effectExtent l="0" t="19050" r="33655" b="19050"/>
              <wp:wrapNone/>
              <wp:docPr id="9" name="直接连接符 1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106D9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id="直接连接符 179" o:spid="_x0000_s1026" o:spt="20" style="position:absolute;left:0pt;margin-top:9.95pt;height:0pt;width:481.9pt;mso-position-horizontal:center;mso-position-horizontal-relative:margin;z-index:251665408;mso-width-relative:page;mso-height-relative:page;" filled="f" stroked="t" coordsize="21600,21600" o:gfxdata="UEsDBAoAAAAAAIdO4kAAAAAAAAAAAAAAAAAEAAAAZHJzL1BLAwQUAAAACACHTuJATIpbndMAAAAG&#10;AQAADwAAAGRycy9kb3ducmV2LnhtbE2PwU7DMBBE70j8g7VI3KgTKkUkxOmhEjcQaqEHbm68TdLa&#10;68h22+TvWcQBjjszmn1TryZnxQVDHDwpyBcZCKTWm4E6BZ8fLw9PIGLSZLT1hApmjLBqbm9qXRl/&#10;pQ1etqkTXEKx0gr6lMZKytj26HRc+BGJvYMPTic+QydN0Fcud1Y+ZlkhnR6IP/R6xHWP7Wl7dgpe&#10;13nxtXmzBe7c+/G0nIZ5F2al7u/y7BlEwin9heEHn9GhYaa9P5OJwirgIYnVsgTBblksecj+V5BN&#10;Lf/jN99QSwMEFAAAAAgAh07iQCtNF+DrAQAAtAMAAA4AAABkcnMvZTJvRG9jLnhtbK1TS27bMBDd&#10;F+gdCO5ryQbi2ILlLCykm6I10PYANEVKBPgDh7HsS/QCBbprV11239s0OUaHlOM0ySaLbqjhfN7w&#10;vRmtrg5Gk70IoJyt6XRSUiIsd62yXU0/f7p+s6AEIrMt086Kmh4F0Kv161erwVdi5nqnWxEIglio&#10;Bl/TPkZfFQXwXhgGE+eFxaB0wbCI19AVbWADohtdzMpyXgwutD44LgDQ24xBekIMLwF0UiouGsdv&#10;jLBxRA1Cs4iUoFce6Dq/VkrB4wcpQUSia4pMYz6xCdq7dBbrFau6wHyv+OkJ7CVPeMLJMGWx6Rmq&#10;YZGRm6CeQRnFgwMn44Q7U4xEsiLIYlo+0eZjz7zIXFBq8GfR4f/B8vf7bSCqremSEssMDvz2668/&#10;X77f/f6G5+3PH2R6uUwyDR4qzN7YbTjdwG9D4nyQwaQvsiGHLO3xLK04RMLROZ/i7EtUnd/HiodC&#10;HyC+Fc6QZNRUK5tYs4rt30HEZph6n5Lc1l0rrfPktCVDTWeLi8sLhGa4jhLXAE3jkRLYjhKmO9xz&#10;HkOGBKdVm8oTEIRut9GB7Blux7ScN8tNYortHqWl3g2DfszLoXFvjIr4K2hlarpI7PI6YbW2CJL0&#10;GhVK1s61xyxc9uMwc5vT4qVt+feeqx9+tv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TIpbndMA&#10;AAAGAQAADwAAAAAAAAABACAAAAAiAAAAZHJzL2Rvd25yZXYueG1sUEsBAhQAFAAAAAgAh07iQCtN&#10;F+DrAQAAtAMAAA4AAAAAAAAAAQAgAAAAIgEAAGRycy9lMm9Eb2MueG1sUEsFBgAAAAAGAAYAWQEA&#10;AH8FAAAAAA==&#10;">
              <v:fill on="f" focussize="0,0"/>
              <v:stroke weight="2.25pt" color="#106D9C [3204]" miterlimit="8" joinstyle="miter"/>
              <v:imagedata o:title=""/>
              <o:lock v:ext="edit" aspectratio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bordersDoNotSurroundHeader/>
  <w:bordersDoNotSurroundFooter/>
  <w:defaultTabStop w:val="420"/>
  <w:drawingGridHorizontalSpacing w:val="120"/>
  <w:drawingGridVerticalSpacing w:val="163"/>
  <w:noPunctuationKerning/>
  <w:characterSpacingControl w:val="compressPunctuation"/>
  <w:hdrShapeDefaults>
    <o:shapedefaults v:ext="edit" spidmax="2049" fillcolor="white" stroke="f">
      <v:fill color="white" opacity=".5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JiM2E3ZDc5NTRkMDkyMjk1OWEyN2QwZWMxOTI0NDYifQ=="/>
  </w:docVars>
  <w:rsids>
    <w:rsidRoot w:val="008F0B6D"/>
    <w:rsid w:val="D6736056"/>
    <w:rsid w:val="F77F3553"/>
    <w:rsid w:val="00000A44"/>
    <w:rsid w:val="00002660"/>
    <w:rsid w:val="0000450F"/>
    <w:rsid w:val="00004558"/>
    <w:rsid w:val="00004BA4"/>
    <w:rsid w:val="00007F6B"/>
    <w:rsid w:val="000100EF"/>
    <w:rsid w:val="00011291"/>
    <w:rsid w:val="00011C51"/>
    <w:rsid w:val="00011CFC"/>
    <w:rsid w:val="00012307"/>
    <w:rsid w:val="0001253B"/>
    <w:rsid w:val="00013272"/>
    <w:rsid w:val="00013722"/>
    <w:rsid w:val="00013C07"/>
    <w:rsid w:val="0001465F"/>
    <w:rsid w:val="00015038"/>
    <w:rsid w:val="0001667E"/>
    <w:rsid w:val="000215E7"/>
    <w:rsid w:val="00021812"/>
    <w:rsid w:val="00024618"/>
    <w:rsid w:val="00024903"/>
    <w:rsid w:val="0002523D"/>
    <w:rsid w:val="00025535"/>
    <w:rsid w:val="00025701"/>
    <w:rsid w:val="000262B7"/>
    <w:rsid w:val="00026C71"/>
    <w:rsid w:val="0002738C"/>
    <w:rsid w:val="0002764F"/>
    <w:rsid w:val="00027669"/>
    <w:rsid w:val="0002778D"/>
    <w:rsid w:val="00027EFF"/>
    <w:rsid w:val="00030702"/>
    <w:rsid w:val="00032257"/>
    <w:rsid w:val="00032836"/>
    <w:rsid w:val="0003326B"/>
    <w:rsid w:val="0003485C"/>
    <w:rsid w:val="000358B3"/>
    <w:rsid w:val="000368B1"/>
    <w:rsid w:val="00037036"/>
    <w:rsid w:val="00037B73"/>
    <w:rsid w:val="00037C9B"/>
    <w:rsid w:val="00037EEE"/>
    <w:rsid w:val="000401A5"/>
    <w:rsid w:val="000407D3"/>
    <w:rsid w:val="000415A9"/>
    <w:rsid w:val="0004456B"/>
    <w:rsid w:val="0004461C"/>
    <w:rsid w:val="00044828"/>
    <w:rsid w:val="000459EF"/>
    <w:rsid w:val="00046728"/>
    <w:rsid w:val="000504B9"/>
    <w:rsid w:val="0005192C"/>
    <w:rsid w:val="00052EF8"/>
    <w:rsid w:val="0005388A"/>
    <w:rsid w:val="00053CA0"/>
    <w:rsid w:val="00055594"/>
    <w:rsid w:val="0005572F"/>
    <w:rsid w:val="00055CE3"/>
    <w:rsid w:val="00057A0D"/>
    <w:rsid w:val="00060464"/>
    <w:rsid w:val="00061023"/>
    <w:rsid w:val="00061A14"/>
    <w:rsid w:val="00063D8C"/>
    <w:rsid w:val="00064493"/>
    <w:rsid w:val="000645A4"/>
    <w:rsid w:val="000648DA"/>
    <w:rsid w:val="00064F87"/>
    <w:rsid w:val="000658A3"/>
    <w:rsid w:val="000658FA"/>
    <w:rsid w:val="00065AD7"/>
    <w:rsid w:val="00065B8A"/>
    <w:rsid w:val="0006603B"/>
    <w:rsid w:val="00066483"/>
    <w:rsid w:val="00066B98"/>
    <w:rsid w:val="00066F92"/>
    <w:rsid w:val="00070BAD"/>
    <w:rsid w:val="000716EA"/>
    <w:rsid w:val="00071E18"/>
    <w:rsid w:val="00071FC8"/>
    <w:rsid w:val="00073ABB"/>
    <w:rsid w:val="00073DAD"/>
    <w:rsid w:val="00073FD9"/>
    <w:rsid w:val="000743B9"/>
    <w:rsid w:val="000744E2"/>
    <w:rsid w:val="000750E0"/>
    <w:rsid w:val="00075172"/>
    <w:rsid w:val="000751F4"/>
    <w:rsid w:val="00075334"/>
    <w:rsid w:val="00075646"/>
    <w:rsid w:val="0007792D"/>
    <w:rsid w:val="00080172"/>
    <w:rsid w:val="0008046D"/>
    <w:rsid w:val="000811F6"/>
    <w:rsid w:val="000817EC"/>
    <w:rsid w:val="00082BB1"/>
    <w:rsid w:val="00082BF4"/>
    <w:rsid w:val="000858C3"/>
    <w:rsid w:val="000859A8"/>
    <w:rsid w:val="00086887"/>
    <w:rsid w:val="000876B6"/>
    <w:rsid w:val="00087758"/>
    <w:rsid w:val="00087897"/>
    <w:rsid w:val="00087994"/>
    <w:rsid w:val="00090097"/>
    <w:rsid w:val="00090382"/>
    <w:rsid w:val="0009069A"/>
    <w:rsid w:val="00092B93"/>
    <w:rsid w:val="000934F2"/>
    <w:rsid w:val="00094E73"/>
    <w:rsid w:val="0009500D"/>
    <w:rsid w:val="00095111"/>
    <w:rsid w:val="000951A5"/>
    <w:rsid w:val="00095BD4"/>
    <w:rsid w:val="00096364"/>
    <w:rsid w:val="000A10F3"/>
    <w:rsid w:val="000A1C08"/>
    <w:rsid w:val="000A20A7"/>
    <w:rsid w:val="000A2468"/>
    <w:rsid w:val="000A27E6"/>
    <w:rsid w:val="000A29E4"/>
    <w:rsid w:val="000A2C3A"/>
    <w:rsid w:val="000A2F91"/>
    <w:rsid w:val="000A2FD9"/>
    <w:rsid w:val="000A4370"/>
    <w:rsid w:val="000A572B"/>
    <w:rsid w:val="000A5BD8"/>
    <w:rsid w:val="000A65B3"/>
    <w:rsid w:val="000A77B4"/>
    <w:rsid w:val="000A7EBB"/>
    <w:rsid w:val="000B12C8"/>
    <w:rsid w:val="000B1612"/>
    <w:rsid w:val="000B25E3"/>
    <w:rsid w:val="000B2876"/>
    <w:rsid w:val="000B461F"/>
    <w:rsid w:val="000B4C73"/>
    <w:rsid w:val="000B4FB7"/>
    <w:rsid w:val="000B58FF"/>
    <w:rsid w:val="000B7E2A"/>
    <w:rsid w:val="000C084A"/>
    <w:rsid w:val="000C1AB5"/>
    <w:rsid w:val="000C1B8E"/>
    <w:rsid w:val="000C1DC0"/>
    <w:rsid w:val="000C22DD"/>
    <w:rsid w:val="000C3582"/>
    <w:rsid w:val="000C4040"/>
    <w:rsid w:val="000C572D"/>
    <w:rsid w:val="000C5C02"/>
    <w:rsid w:val="000C5FA4"/>
    <w:rsid w:val="000D002C"/>
    <w:rsid w:val="000D00F9"/>
    <w:rsid w:val="000D02B6"/>
    <w:rsid w:val="000D0E2C"/>
    <w:rsid w:val="000D122D"/>
    <w:rsid w:val="000D14E1"/>
    <w:rsid w:val="000D27E1"/>
    <w:rsid w:val="000D3D06"/>
    <w:rsid w:val="000D4F78"/>
    <w:rsid w:val="000D52FE"/>
    <w:rsid w:val="000D62A3"/>
    <w:rsid w:val="000D69EB"/>
    <w:rsid w:val="000D6AC6"/>
    <w:rsid w:val="000E0E7B"/>
    <w:rsid w:val="000E0E9E"/>
    <w:rsid w:val="000E1372"/>
    <w:rsid w:val="000E1825"/>
    <w:rsid w:val="000E2FF5"/>
    <w:rsid w:val="000E40A3"/>
    <w:rsid w:val="000E4888"/>
    <w:rsid w:val="000E5999"/>
    <w:rsid w:val="000E6675"/>
    <w:rsid w:val="000E6A1A"/>
    <w:rsid w:val="000E704F"/>
    <w:rsid w:val="000E76B9"/>
    <w:rsid w:val="000F0973"/>
    <w:rsid w:val="000F10D5"/>
    <w:rsid w:val="000F15A6"/>
    <w:rsid w:val="000F175E"/>
    <w:rsid w:val="000F241F"/>
    <w:rsid w:val="000F2E1F"/>
    <w:rsid w:val="000F30FB"/>
    <w:rsid w:val="000F3345"/>
    <w:rsid w:val="000F450B"/>
    <w:rsid w:val="000F4B4A"/>
    <w:rsid w:val="000F5D1C"/>
    <w:rsid w:val="000F71AB"/>
    <w:rsid w:val="00100C72"/>
    <w:rsid w:val="0010113D"/>
    <w:rsid w:val="00101AB1"/>
    <w:rsid w:val="00101DA6"/>
    <w:rsid w:val="00101E21"/>
    <w:rsid w:val="00102536"/>
    <w:rsid w:val="00102634"/>
    <w:rsid w:val="001033CA"/>
    <w:rsid w:val="00104581"/>
    <w:rsid w:val="00105CE0"/>
    <w:rsid w:val="00105D60"/>
    <w:rsid w:val="00106B23"/>
    <w:rsid w:val="0010732A"/>
    <w:rsid w:val="001075D9"/>
    <w:rsid w:val="0011081C"/>
    <w:rsid w:val="00111274"/>
    <w:rsid w:val="00111F77"/>
    <w:rsid w:val="00112954"/>
    <w:rsid w:val="001144C9"/>
    <w:rsid w:val="00114C49"/>
    <w:rsid w:val="001173D7"/>
    <w:rsid w:val="0011758D"/>
    <w:rsid w:val="0012109A"/>
    <w:rsid w:val="0012255B"/>
    <w:rsid w:val="0012352B"/>
    <w:rsid w:val="001249F7"/>
    <w:rsid w:val="00125C58"/>
    <w:rsid w:val="0012667E"/>
    <w:rsid w:val="0012685A"/>
    <w:rsid w:val="00126B45"/>
    <w:rsid w:val="0012715C"/>
    <w:rsid w:val="00127498"/>
    <w:rsid w:val="0013001F"/>
    <w:rsid w:val="001310CE"/>
    <w:rsid w:val="00131585"/>
    <w:rsid w:val="00132A38"/>
    <w:rsid w:val="00132BCD"/>
    <w:rsid w:val="00133BC6"/>
    <w:rsid w:val="00133C9B"/>
    <w:rsid w:val="001341FE"/>
    <w:rsid w:val="00134333"/>
    <w:rsid w:val="00134945"/>
    <w:rsid w:val="00135BC7"/>
    <w:rsid w:val="001367B2"/>
    <w:rsid w:val="0013702F"/>
    <w:rsid w:val="00137570"/>
    <w:rsid w:val="00140398"/>
    <w:rsid w:val="00141003"/>
    <w:rsid w:val="001424AA"/>
    <w:rsid w:val="00142C6E"/>
    <w:rsid w:val="00142E2B"/>
    <w:rsid w:val="00143E0A"/>
    <w:rsid w:val="00143F60"/>
    <w:rsid w:val="001447CD"/>
    <w:rsid w:val="00144A3E"/>
    <w:rsid w:val="00145A65"/>
    <w:rsid w:val="00146F9E"/>
    <w:rsid w:val="00147577"/>
    <w:rsid w:val="00147B14"/>
    <w:rsid w:val="0015023F"/>
    <w:rsid w:val="00150E4E"/>
    <w:rsid w:val="0015102B"/>
    <w:rsid w:val="00151791"/>
    <w:rsid w:val="001519E2"/>
    <w:rsid w:val="0015279A"/>
    <w:rsid w:val="001529B2"/>
    <w:rsid w:val="0015344B"/>
    <w:rsid w:val="00154899"/>
    <w:rsid w:val="0015528B"/>
    <w:rsid w:val="00155DE1"/>
    <w:rsid w:val="00155FC5"/>
    <w:rsid w:val="00157020"/>
    <w:rsid w:val="001621A8"/>
    <w:rsid w:val="001630A4"/>
    <w:rsid w:val="001638A3"/>
    <w:rsid w:val="00163C84"/>
    <w:rsid w:val="00163F07"/>
    <w:rsid w:val="00164FE4"/>
    <w:rsid w:val="001650DB"/>
    <w:rsid w:val="00166567"/>
    <w:rsid w:val="00166DFD"/>
    <w:rsid w:val="00166F0C"/>
    <w:rsid w:val="00170711"/>
    <w:rsid w:val="0017093F"/>
    <w:rsid w:val="00170967"/>
    <w:rsid w:val="00171AB4"/>
    <w:rsid w:val="00172C2A"/>
    <w:rsid w:val="00172D32"/>
    <w:rsid w:val="00173F70"/>
    <w:rsid w:val="001741E2"/>
    <w:rsid w:val="00174224"/>
    <w:rsid w:val="00174699"/>
    <w:rsid w:val="00175AC2"/>
    <w:rsid w:val="0017664E"/>
    <w:rsid w:val="001767A8"/>
    <w:rsid w:val="00177185"/>
    <w:rsid w:val="00177F99"/>
    <w:rsid w:val="00181251"/>
    <w:rsid w:val="001815E0"/>
    <w:rsid w:val="001819D1"/>
    <w:rsid w:val="00181D1C"/>
    <w:rsid w:val="001827D4"/>
    <w:rsid w:val="0018285A"/>
    <w:rsid w:val="001828B2"/>
    <w:rsid w:val="00182FFF"/>
    <w:rsid w:val="001837B4"/>
    <w:rsid w:val="001846A1"/>
    <w:rsid w:val="001846CE"/>
    <w:rsid w:val="00185BF8"/>
    <w:rsid w:val="001870FC"/>
    <w:rsid w:val="00187B3E"/>
    <w:rsid w:val="00187C57"/>
    <w:rsid w:val="00190C41"/>
    <w:rsid w:val="00191487"/>
    <w:rsid w:val="0019241A"/>
    <w:rsid w:val="00192FFF"/>
    <w:rsid w:val="001930B7"/>
    <w:rsid w:val="001931DA"/>
    <w:rsid w:val="00193A43"/>
    <w:rsid w:val="00193D6F"/>
    <w:rsid w:val="00194DA1"/>
    <w:rsid w:val="00194E59"/>
    <w:rsid w:val="00196E03"/>
    <w:rsid w:val="00197238"/>
    <w:rsid w:val="00197253"/>
    <w:rsid w:val="001978BE"/>
    <w:rsid w:val="00197991"/>
    <w:rsid w:val="00197BD3"/>
    <w:rsid w:val="00197F7F"/>
    <w:rsid w:val="001A15BF"/>
    <w:rsid w:val="001A1727"/>
    <w:rsid w:val="001A19B1"/>
    <w:rsid w:val="001A1C32"/>
    <w:rsid w:val="001A23AD"/>
    <w:rsid w:val="001A3B18"/>
    <w:rsid w:val="001A5D67"/>
    <w:rsid w:val="001A66D3"/>
    <w:rsid w:val="001A6724"/>
    <w:rsid w:val="001A769B"/>
    <w:rsid w:val="001A7A77"/>
    <w:rsid w:val="001B008C"/>
    <w:rsid w:val="001B0717"/>
    <w:rsid w:val="001B2AA4"/>
    <w:rsid w:val="001B3AF0"/>
    <w:rsid w:val="001B493B"/>
    <w:rsid w:val="001B4CCB"/>
    <w:rsid w:val="001B71E6"/>
    <w:rsid w:val="001B75F4"/>
    <w:rsid w:val="001B7ED1"/>
    <w:rsid w:val="001C0662"/>
    <w:rsid w:val="001C0ECD"/>
    <w:rsid w:val="001C2561"/>
    <w:rsid w:val="001C3234"/>
    <w:rsid w:val="001C41BF"/>
    <w:rsid w:val="001C50FD"/>
    <w:rsid w:val="001C56BD"/>
    <w:rsid w:val="001C6A05"/>
    <w:rsid w:val="001C7CD2"/>
    <w:rsid w:val="001C7D5E"/>
    <w:rsid w:val="001D0CCB"/>
    <w:rsid w:val="001D0F62"/>
    <w:rsid w:val="001D1999"/>
    <w:rsid w:val="001D1BB7"/>
    <w:rsid w:val="001D1E23"/>
    <w:rsid w:val="001D28AB"/>
    <w:rsid w:val="001D2B9B"/>
    <w:rsid w:val="001D2CA7"/>
    <w:rsid w:val="001D32D0"/>
    <w:rsid w:val="001D380A"/>
    <w:rsid w:val="001D44FC"/>
    <w:rsid w:val="001D4B88"/>
    <w:rsid w:val="001D69F3"/>
    <w:rsid w:val="001D759E"/>
    <w:rsid w:val="001D773F"/>
    <w:rsid w:val="001E0747"/>
    <w:rsid w:val="001E0D75"/>
    <w:rsid w:val="001E10DD"/>
    <w:rsid w:val="001E1783"/>
    <w:rsid w:val="001E2142"/>
    <w:rsid w:val="001E25ED"/>
    <w:rsid w:val="001E2ED7"/>
    <w:rsid w:val="001E320D"/>
    <w:rsid w:val="001E4623"/>
    <w:rsid w:val="001E48DE"/>
    <w:rsid w:val="001E5318"/>
    <w:rsid w:val="001E5E5A"/>
    <w:rsid w:val="001E60A4"/>
    <w:rsid w:val="001E6D69"/>
    <w:rsid w:val="001E7D8B"/>
    <w:rsid w:val="001F113A"/>
    <w:rsid w:val="001F15FB"/>
    <w:rsid w:val="001F21AE"/>
    <w:rsid w:val="001F299A"/>
    <w:rsid w:val="001F34C4"/>
    <w:rsid w:val="001F368C"/>
    <w:rsid w:val="001F4F66"/>
    <w:rsid w:val="001F54D0"/>
    <w:rsid w:val="001F5F7A"/>
    <w:rsid w:val="001F62D1"/>
    <w:rsid w:val="001F63F9"/>
    <w:rsid w:val="0020261D"/>
    <w:rsid w:val="002028D3"/>
    <w:rsid w:val="00202EAE"/>
    <w:rsid w:val="00204697"/>
    <w:rsid w:val="00204C03"/>
    <w:rsid w:val="0020557E"/>
    <w:rsid w:val="00205723"/>
    <w:rsid w:val="0020694D"/>
    <w:rsid w:val="00206CD3"/>
    <w:rsid w:val="002078AE"/>
    <w:rsid w:val="00207F24"/>
    <w:rsid w:val="00210A0B"/>
    <w:rsid w:val="00210DAB"/>
    <w:rsid w:val="00211079"/>
    <w:rsid w:val="00211673"/>
    <w:rsid w:val="0021211C"/>
    <w:rsid w:val="0021378F"/>
    <w:rsid w:val="00213BD4"/>
    <w:rsid w:val="00215A07"/>
    <w:rsid w:val="00215B26"/>
    <w:rsid w:val="00216C4C"/>
    <w:rsid w:val="0021728D"/>
    <w:rsid w:val="0021748C"/>
    <w:rsid w:val="002207E0"/>
    <w:rsid w:val="002213F2"/>
    <w:rsid w:val="00221448"/>
    <w:rsid w:val="002214CB"/>
    <w:rsid w:val="00221F05"/>
    <w:rsid w:val="0022213A"/>
    <w:rsid w:val="00222EB7"/>
    <w:rsid w:val="00223E6E"/>
    <w:rsid w:val="00224C32"/>
    <w:rsid w:val="00225A01"/>
    <w:rsid w:val="00225ED9"/>
    <w:rsid w:val="0022688D"/>
    <w:rsid w:val="00227E46"/>
    <w:rsid w:val="00227EC1"/>
    <w:rsid w:val="002301E1"/>
    <w:rsid w:val="002314D4"/>
    <w:rsid w:val="00232AF8"/>
    <w:rsid w:val="00232D17"/>
    <w:rsid w:val="0023305F"/>
    <w:rsid w:val="00235968"/>
    <w:rsid w:val="00235972"/>
    <w:rsid w:val="00236C60"/>
    <w:rsid w:val="002410B9"/>
    <w:rsid w:val="00241C74"/>
    <w:rsid w:val="00241FF6"/>
    <w:rsid w:val="0024227F"/>
    <w:rsid w:val="002425CA"/>
    <w:rsid w:val="0024376E"/>
    <w:rsid w:val="00243C95"/>
    <w:rsid w:val="00243CE5"/>
    <w:rsid w:val="0024415F"/>
    <w:rsid w:val="002444DC"/>
    <w:rsid w:val="002445FC"/>
    <w:rsid w:val="002446DC"/>
    <w:rsid w:val="0024562E"/>
    <w:rsid w:val="00246737"/>
    <w:rsid w:val="00246B5B"/>
    <w:rsid w:val="00246B5C"/>
    <w:rsid w:val="00246C9E"/>
    <w:rsid w:val="002471E5"/>
    <w:rsid w:val="002474F4"/>
    <w:rsid w:val="00247D7E"/>
    <w:rsid w:val="0025063A"/>
    <w:rsid w:val="00250AE9"/>
    <w:rsid w:val="002512B3"/>
    <w:rsid w:val="00253066"/>
    <w:rsid w:val="00253363"/>
    <w:rsid w:val="0025375D"/>
    <w:rsid w:val="0025566C"/>
    <w:rsid w:val="0025591E"/>
    <w:rsid w:val="00255B09"/>
    <w:rsid w:val="002570E9"/>
    <w:rsid w:val="00260351"/>
    <w:rsid w:val="00260391"/>
    <w:rsid w:val="00261C09"/>
    <w:rsid w:val="00262055"/>
    <w:rsid w:val="0026286D"/>
    <w:rsid w:val="002654BB"/>
    <w:rsid w:val="00266694"/>
    <w:rsid w:val="002674E1"/>
    <w:rsid w:val="00270082"/>
    <w:rsid w:val="00271143"/>
    <w:rsid w:val="002715D2"/>
    <w:rsid w:val="00272509"/>
    <w:rsid w:val="00272BEF"/>
    <w:rsid w:val="002735DF"/>
    <w:rsid w:val="0027498E"/>
    <w:rsid w:val="00274B1D"/>
    <w:rsid w:val="002756CC"/>
    <w:rsid w:val="00275725"/>
    <w:rsid w:val="002758D2"/>
    <w:rsid w:val="0027751A"/>
    <w:rsid w:val="002801A3"/>
    <w:rsid w:val="00283606"/>
    <w:rsid w:val="0028385F"/>
    <w:rsid w:val="00284F60"/>
    <w:rsid w:val="00285421"/>
    <w:rsid w:val="00285D80"/>
    <w:rsid w:val="0029066D"/>
    <w:rsid w:val="00290D65"/>
    <w:rsid w:val="00290F78"/>
    <w:rsid w:val="00291019"/>
    <w:rsid w:val="00291705"/>
    <w:rsid w:val="002922F3"/>
    <w:rsid w:val="00292421"/>
    <w:rsid w:val="0029260D"/>
    <w:rsid w:val="002928BA"/>
    <w:rsid w:val="00292911"/>
    <w:rsid w:val="00292A20"/>
    <w:rsid w:val="00292A41"/>
    <w:rsid w:val="00292CB8"/>
    <w:rsid w:val="00293B62"/>
    <w:rsid w:val="00294B71"/>
    <w:rsid w:val="00295A49"/>
    <w:rsid w:val="00296420"/>
    <w:rsid w:val="0029683B"/>
    <w:rsid w:val="002971FC"/>
    <w:rsid w:val="002975A7"/>
    <w:rsid w:val="00297865"/>
    <w:rsid w:val="002A20F4"/>
    <w:rsid w:val="002A2807"/>
    <w:rsid w:val="002A34FC"/>
    <w:rsid w:val="002A451A"/>
    <w:rsid w:val="002A6766"/>
    <w:rsid w:val="002A7AD2"/>
    <w:rsid w:val="002B000B"/>
    <w:rsid w:val="002B2BD2"/>
    <w:rsid w:val="002B4DCD"/>
    <w:rsid w:val="002B5246"/>
    <w:rsid w:val="002B59C0"/>
    <w:rsid w:val="002B71DD"/>
    <w:rsid w:val="002B723C"/>
    <w:rsid w:val="002B7B43"/>
    <w:rsid w:val="002B7E18"/>
    <w:rsid w:val="002C03DD"/>
    <w:rsid w:val="002C0CEA"/>
    <w:rsid w:val="002C2617"/>
    <w:rsid w:val="002C2805"/>
    <w:rsid w:val="002C35B5"/>
    <w:rsid w:val="002C4129"/>
    <w:rsid w:val="002C47BC"/>
    <w:rsid w:val="002C49B8"/>
    <w:rsid w:val="002C4D69"/>
    <w:rsid w:val="002C57DB"/>
    <w:rsid w:val="002C59F4"/>
    <w:rsid w:val="002C61D6"/>
    <w:rsid w:val="002D0428"/>
    <w:rsid w:val="002D09F1"/>
    <w:rsid w:val="002D21C5"/>
    <w:rsid w:val="002D3BC5"/>
    <w:rsid w:val="002D50FB"/>
    <w:rsid w:val="002D53F3"/>
    <w:rsid w:val="002D5984"/>
    <w:rsid w:val="002D63CC"/>
    <w:rsid w:val="002D6F49"/>
    <w:rsid w:val="002D7546"/>
    <w:rsid w:val="002E16EF"/>
    <w:rsid w:val="002E2781"/>
    <w:rsid w:val="002E352F"/>
    <w:rsid w:val="002E42A5"/>
    <w:rsid w:val="002E49F3"/>
    <w:rsid w:val="002E5335"/>
    <w:rsid w:val="002E5E61"/>
    <w:rsid w:val="002E6C2B"/>
    <w:rsid w:val="002E702B"/>
    <w:rsid w:val="002E7EAB"/>
    <w:rsid w:val="002F08CA"/>
    <w:rsid w:val="002F189A"/>
    <w:rsid w:val="002F1ACD"/>
    <w:rsid w:val="002F2206"/>
    <w:rsid w:val="002F2E9A"/>
    <w:rsid w:val="002F2F51"/>
    <w:rsid w:val="002F3258"/>
    <w:rsid w:val="002F3F23"/>
    <w:rsid w:val="002F40A5"/>
    <w:rsid w:val="002F42D2"/>
    <w:rsid w:val="002F45C2"/>
    <w:rsid w:val="002F626A"/>
    <w:rsid w:val="002F68D0"/>
    <w:rsid w:val="002F762B"/>
    <w:rsid w:val="002F7AD2"/>
    <w:rsid w:val="003003F8"/>
    <w:rsid w:val="00300491"/>
    <w:rsid w:val="003010C6"/>
    <w:rsid w:val="00301E33"/>
    <w:rsid w:val="00302B7E"/>
    <w:rsid w:val="00303CA5"/>
    <w:rsid w:val="0030431A"/>
    <w:rsid w:val="00305CF5"/>
    <w:rsid w:val="00306A60"/>
    <w:rsid w:val="00306BF0"/>
    <w:rsid w:val="00306D17"/>
    <w:rsid w:val="003103DD"/>
    <w:rsid w:val="003108E6"/>
    <w:rsid w:val="0031111A"/>
    <w:rsid w:val="003115D7"/>
    <w:rsid w:val="0031185C"/>
    <w:rsid w:val="003145E9"/>
    <w:rsid w:val="00314798"/>
    <w:rsid w:val="00314B1F"/>
    <w:rsid w:val="0031539F"/>
    <w:rsid w:val="003154E1"/>
    <w:rsid w:val="00315CA4"/>
    <w:rsid w:val="003165E8"/>
    <w:rsid w:val="00316E02"/>
    <w:rsid w:val="003170C4"/>
    <w:rsid w:val="003177B4"/>
    <w:rsid w:val="00317E47"/>
    <w:rsid w:val="003210ED"/>
    <w:rsid w:val="00321826"/>
    <w:rsid w:val="00321A9A"/>
    <w:rsid w:val="003228B9"/>
    <w:rsid w:val="00323344"/>
    <w:rsid w:val="00324013"/>
    <w:rsid w:val="0032519D"/>
    <w:rsid w:val="00325458"/>
    <w:rsid w:val="00325CE8"/>
    <w:rsid w:val="00325D0A"/>
    <w:rsid w:val="0032650B"/>
    <w:rsid w:val="00326DF2"/>
    <w:rsid w:val="00327559"/>
    <w:rsid w:val="003277B6"/>
    <w:rsid w:val="003278DB"/>
    <w:rsid w:val="003301E1"/>
    <w:rsid w:val="00330D3E"/>
    <w:rsid w:val="003314A7"/>
    <w:rsid w:val="0033155F"/>
    <w:rsid w:val="003319C8"/>
    <w:rsid w:val="0033259C"/>
    <w:rsid w:val="00333175"/>
    <w:rsid w:val="003332EC"/>
    <w:rsid w:val="003336CB"/>
    <w:rsid w:val="00333CAA"/>
    <w:rsid w:val="003346FE"/>
    <w:rsid w:val="003353DE"/>
    <w:rsid w:val="00336060"/>
    <w:rsid w:val="00337409"/>
    <w:rsid w:val="00337AF0"/>
    <w:rsid w:val="00337AF9"/>
    <w:rsid w:val="00337E02"/>
    <w:rsid w:val="00341C94"/>
    <w:rsid w:val="003429E0"/>
    <w:rsid w:val="00342C53"/>
    <w:rsid w:val="003432DD"/>
    <w:rsid w:val="003433EF"/>
    <w:rsid w:val="00343C63"/>
    <w:rsid w:val="00344B15"/>
    <w:rsid w:val="00344DB5"/>
    <w:rsid w:val="0034537E"/>
    <w:rsid w:val="003455F9"/>
    <w:rsid w:val="00345ED1"/>
    <w:rsid w:val="0034612E"/>
    <w:rsid w:val="003461A7"/>
    <w:rsid w:val="00346415"/>
    <w:rsid w:val="0034670E"/>
    <w:rsid w:val="003502E6"/>
    <w:rsid w:val="00350740"/>
    <w:rsid w:val="00352442"/>
    <w:rsid w:val="00352AF3"/>
    <w:rsid w:val="003541DC"/>
    <w:rsid w:val="00354B79"/>
    <w:rsid w:val="00355259"/>
    <w:rsid w:val="003554E9"/>
    <w:rsid w:val="00355549"/>
    <w:rsid w:val="00355969"/>
    <w:rsid w:val="003561BC"/>
    <w:rsid w:val="00356709"/>
    <w:rsid w:val="00356855"/>
    <w:rsid w:val="00360D8B"/>
    <w:rsid w:val="003613EF"/>
    <w:rsid w:val="00361401"/>
    <w:rsid w:val="003614B4"/>
    <w:rsid w:val="003616CB"/>
    <w:rsid w:val="00361945"/>
    <w:rsid w:val="00361AA3"/>
    <w:rsid w:val="00361F1A"/>
    <w:rsid w:val="00361F96"/>
    <w:rsid w:val="00362710"/>
    <w:rsid w:val="003628CE"/>
    <w:rsid w:val="0036291F"/>
    <w:rsid w:val="003651F9"/>
    <w:rsid w:val="00371675"/>
    <w:rsid w:val="003734FC"/>
    <w:rsid w:val="00374301"/>
    <w:rsid w:val="003744A4"/>
    <w:rsid w:val="00375A15"/>
    <w:rsid w:val="00375AE2"/>
    <w:rsid w:val="0037604B"/>
    <w:rsid w:val="00376221"/>
    <w:rsid w:val="003809AF"/>
    <w:rsid w:val="00380D44"/>
    <w:rsid w:val="00380FF6"/>
    <w:rsid w:val="00382A06"/>
    <w:rsid w:val="003838DB"/>
    <w:rsid w:val="00384666"/>
    <w:rsid w:val="00384C99"/>
    <w:rsid w:val="00385756"/>
    <w:rsid w:val="003859D5"/>
    <w:rsid w:val="00385BC8"/>
    <w:rsid w:val="0038670E"/>
    <w:rsid w:val="00390235"/>
    <w:rsid w:val="00390507"/>
    <w:rsid w:val="003905FF"/>
    <w:rsid w:val="00392B8E"/>
    <w:rsid w:val="0039374A"/>
    <w:rsid w:val="003942B7"/>
    <w:rsid w:val="0039439E"/>
    <w:rsid w:val="0039473C"/>
    <w:rsid w:val="00394AAD"/>
    <w:rsid w:val="00394EF8"/>
    <w:rsid w:val="00395803"/>
    <w:rsid w:val="00395AA3"/>
    <w:rsid w:val="0039662C"/>
    <w:rsid w:val="003A000C"/>
    <w:rsid w:val="003A00E7"/>
    <w:rsid w:val="003A0951"/>
    <w:rsid w:val="003A12E9"/>
    <w:rsid w:val="003A1492"/>
    <w:rsid w:val="003A1CCB"/>
    <w:rsid w:val="003A264A"/>
    <w:rsid w:val="003A2C95"/>
    <w:rsid w:val="003A38A4"/>
    <w:rsid w:val="003A3E52"/>
    <w:rsid w:val="003A69BA"/>
    <w:rsid w:val="003A6B98"/>
    <w:rsid w:val="003A70E3"/>
    <w:rsid w:val="003A7750"/>
    <w:rsid w:val="003A7B46"/>
    <w:rsid w:val="003A7E33"/>
    <w:rsid w:val="003B150F"/>
    <w:rsid w:val="003B23CB"/>
    <w:rsid w:val="003B2767"/>
    <w:rsid w:val="003B2792"/>
    <w:rsid w:val="003B27C3"/>
    <w:rsid w:val="003B283A"/>
    <w:rsid w:val="003B2DEA"/>
    <w:rsid w:val="003B32C0"/>
    <w:rsid w:val="003B32EF"/>
    <w:rsid w:val="003B37F5"/>
    <w:rsid w:val="003B3D78"/>
    <w:rsid w:val="003B41BF"/>
    <w:rsid w:val="003B5654"/>
    <w:rsid w:val="003B5940"/>
    <w:rsid w:val="003B5F7F"/>
    <w:rsid w:val="003B6409"/>
    <w:rsid w:val="003B6CFA"/>
    <w:rsid w:val="003B7C7B"/>
    <w:rsid w:val="003C09A4"/>
    <w:rsid w:val="003C1802"/>
    <w:rsid w:val="003C2368"/>
    <w:rsid w:val="003C28C9"/>
    <w:rsid w:val="003C3D82"/>
    <w:rsid w:val="003C4869"/>
    <w:rsid w:val="003C4DBB"/>
    <w:rsid w:val="003C67C5"/>
    <w:rsid w:val="003C6DBB"/>
    <w:rsid w:val="003C705E"/>
    <w:rsid w:val="003C76EE"/>
    <w:rsid w:val="003C7A49"/>
    <w:rsid w:val="003D0126"/>
    <w:rsid w:val="003D1407"/>
    <w:rsid w:val="003D1FDE"/>
    <w:rsid w:val="003D61B8"/>
    <w:rsid w:val="003D671F"/>
    <w:rsid w:val="003D7A99"/>
    <w:rsid w:val="003D7B09"/>
    <w:rsid w:val="003E0762"/>
    <w:rsid w:val="003E1121"/>
    <w:rsid w:val="003E1C6C"/>
    <w:rsid w:val="003E392D"/>
    <w:rsid w:val="003E3B0D"/>
    <w:rsid w:val="003E3D42"/>
    <w:rsid w:val="003E4618"/>
    <w:rsid w:val="003E47AD"/>
    <w:rsid w:val="003E4BB4"/>
    <w:rsid w:val="003E6099"/>
    <w:rsid w:val="003E6D20"/>
    <w:rsid w:val="003E736B"/>
    <w:rsid w:val="003E73BF"/>
    <w:rsid w:val="003E7510"/>
    <w:rsid w:val="003E7CB8"/>
    <w:rsid w:val="003F00C1"/>
    <w:rsid w:val="003F0564"/>
    <w:rsid w:val="003F16DE"/>
    <w:rsid w:val="003F17DB"/>
    <w:rsid w:val="003F1A83"/>
    <w:rsid w:val="003F1C89"/>
    <w:rsid w:val="003F3CEF"/>
    <w:rsid w:val="003F4380"/>
    <w:rsid w:val="003F4E78"/>
    <w:rsid w:val="003F7217"/>
    <w:rsid w:val="00401AB5"/>
    <w:rsid w:val="00401B91"/>
    <w:rsid w:val="004065F2"/>
    <w:rsid w:val="00406BB3"/>
    <w:rsid w:val="00406EBB"/>
    <w:rsid w:val="004073AD"/>
    <w:rsid w:val="004103D9"/>
    <w:rsid w:val="0041046E"/>
    <w:rsid w:val="0041120D"/>
    <w:rsid w:val="004119B3"/>
    <w:rsid w:val="00411CD0"/>
    <w:rsid w:val="00412760"/>
    <w:rsid w:val="00412F81"/>
    <w:rsid w:val="004145C7"/>
    <w:rsid w:val="00414728"/>
    <w:rsid w:val="0041477D"/>
    <w:rsid w:val="00414A33"/>
    <w:rsid w:val="004156D5"/>
    <w:rsid w:val="00417C09"/>
    <w:rsid w:val="00420BCF"/>
    <w:rsid w:val="00421CAA"/>
    <w:rsid w:val="004223ED"/>
    <w:rsid w:val="00422558"/>
    <w:rsid w:val="00423F2B"/>
    <w:rsid w:val="00424E77"/>
    <w:rsid w:val="004253FF"/>
    <w:rsid w:val="00427020"/>
    <w:rsid w:val="00427510"/>
    <w:rsid w:val="00427A66"/>
    <w:rsid w:val="00427BA6"/>
    <w:rsid w:val="00430568"/>
    <w:rsid w:val="0043140E"/>
    <w:rsid w:val="00431AEE"/>
    <w:rsid w:val="00433704"/>
    <w:rsid w:val="00433954"/>
    <w:rsid w:val="004343AC"/>
    <w:rsid w:val="00434D1F"/>
    <w:rsid w:val="00434F52"/>
    <w:rsid w:val="004354AE"/>
    <w:rsid w:val="00436870"/>
    <w:rsid w:val="00436DF8"/>
    <w:rsid w:val="00436EB4"/>
    <w:rsid w:val="00440947"/>
    <w:rsid w:val="00440CBB"/>
    <w:rsid w:val="0044123F"/>
    <w:rsid w:val="00441397"/>
    <w:rsid w:val="004421C0"/>
    <w:rsid w:val="0044248F"/>
    <w:rsid w:val="00444F31"/>
    <w:rsid w:val="00445C8C"/>
    <w:rsid w:val="0044651D"/>
    <w:rsid w:val="00446D13"/>
    <w:rsid w:val="00446F11"/>
    <w:rsid w:val="004475FF"/>
    <w:rsid w:val="004502C7"/>
    <w:rsid w:val="004510C7"/>
    <w:rsid w:val="0045196B"/>
    <w:rsid w:val="0045290A"/>
    <w:rsid w:val="0045310F"/>
    <w:rsid w:val="00455845"/>
    <w:rsid w:val="00455D4E"/>
    <w:rsid w:val="00457FA1"/>
    <w:rsid w:val="0046170C"/>
    <w:rsid w:val="0046221F"/>
    <w:rsid w:val="0046230A"/>
    <w:rsid w:val="00462F5D"/>
    <w:rsid w:val="00463684"/>
    <w:rsid w:val="00463832"/>
    <w:rsid w:val="0046446F"/>
    <w:rsid w:val="0046524F"/>
    <w:rsid w:val="00465A57"/>
    <w:rsid w:val="00466336"/>
    <w:rsid w:val="004669DF"/>
    <w:rsid w:val="00467FC7"/>
    <w:rsid w:val="00472C80"/>
    <w:rsid w:val="004736FD"/>
    <w:rsid w:val="00474105"/>
    <w:rsid w:val="004748CB"/>
    <w:rsid w:val="0047691A"/>
    <w:rsid w:val="00477084"/>
    <w:rsid w:val="00477DFD"/>
    <w:rsid w:val="0048022C"/>
    <w:rsid w:val="00480B79"/>
    <w:rsid w:val="00480CF4"/>
    <w:rsid w:val="00480F16"/>
    <w:rsid w:val="00482662"/>
    <w:rsid w:val="00483D43"/>
    <w:rsid w:val="00484509"/>
    <w:rsid w:val="004857E4"/>
    <w:rsid w:val="00490CE0"/>
    <w:rsid w:val="00491AA3"/>
    <w:rsid w:val="0049296D"/>
    <w:rsid w:val="00496A93"/>
    <w:rsid w:val="00496B8A"/>
    <w:rsid w:val="0049771D"/>
    <w:rsid w:val="004A085C"/>
    <w:rsid w:val="004A09CD"/>
    <w:rsid w:val="004A0A08"/>
    <w:rsid w:val="004A0C35"/>
    <w:rsid w:val="004A1279"/>
    <w:rsid w:val="004A2A12"/>
    <w:rsid w:val="004A2CD5"/>
    <w:rsid w:val="004A3EC3"/>
    <w:rsid w:val="004A4423"/>
    <w:rsid w:val="004A4768"/>
    <w:rsid w:val="004A5A0D"/>
    <w:rsid w:val="004A62A0"/>
    <w:rsid w:val="004A7743"/>
    <w:rsid w:val="004B07EB"/>
    <w:rsid w:val="004B13D5"/>
    <w:rsid w:val="004B1DDA"/>
    <w:rsid w:val="004B2A3C"/>
    <w:rsid w:val="004B2CE3"/>
    <w:rsid w:val="004B4A2C"/>
    <w:rsid w:val="004B4BB4"/>
    <w:rsid w:val="004B5944"/>
    <w:rsid w:val="004B6D31"/>
    <w:rsid w:val="004B75DE"/>
    <w:rsid w:val="004B7B7E"/>
    <w:rsid w:val="004C14A0"/>
    <w:rsid w:val="004C16FF"/>
    <w:rsid w:val="004C25CF"/>
    <w:rsid w:val="004C3D2A"/>
    <w:rsid w:val="004C76C3"/>
    <w:rsid w:val="004D03DC"/>
    <w:rsid w:val="004D0F14"/>
    <w:rsid w:val="004D1C72"/>
    <w:rsid w:val="004D2477"/>
    <w:rsid w:val="004D2944"/>
    <w:rsid w:val="004D2EF3"/>
    <w:rsid w:val="004D3243"/>
    <w:rsid w:val="004D3A1E"/>
    <w:rsid w:val="004D54AA"/>
    <w:rsid w:val="004D5524"/>
    <w:rsid w:val="004D5DD1"/>
    <w:rsid w:val="004D6287"/>
    <w:rsid w:val="004D76ED"/>
    <w:rsid w:val="004D7813"/>
    <w:rsid w:val="004E01DC"/>
    <w:rsid w:val="004E076E"/>
    <w:rsid w:val="004E09F4"/>
    <w:rsid w:val="004E0AA8"/>
    <w:rsid w:val="004E26F3"/>
    <w:rsid w:val="004E2AFC"/>
    <w:rsid w:val="004E2C0B"/>
    <w:rsid w:val="004E2C78"/>
    <w:rsid w:val="004E3581"/>
    <w:rsid w:val="004E4221"/>
    <w:rsid w:val="004E454C"/>
    <w:rsid w:val="004E45E1"/>
    <w:rsid w:val="004E499E"/>
    <w:rsid w:val="004E4E3D"/>
    <w:rsid w:val="004E58C4"/>
    <w:rsid w:val="004E5AD9"/>
    <w:rsid w:val="004E5BB1"/>
    <w:rsid w:val="004E65B5"/>
    <w:rsid w:val="004E6604"/>
    <w:rsid w:val="004E663E"/>
    <w:rsid w:val="004E79A0"/>
    <w:rsid w:val="004F0200"/>
    <w:rsid w:val="004F098F"/>
    <w:rsid w:val="004F2475"/>
    <w:rsid w:val="004F297E"/>
    <w:rsid w:val="004F2A2B"/>
    <w:rsid w:val="004F40FD"/>
    <w:rsid w:val="004F42CF"/>
    <w:rsid w:val="004F5D73"/>
    <w:rsid w:val="004F652D"/>
    <w:rsid w:val="004F6549"/>
    <w:rsid w:val="004F7D38"/>
    <w:rsid w:val="0050037C"/>
    <w:rsid w:val="00500C6A"/>
    <w:rsid w:val="00501123"/>
    <w:rsid w:val="005011EF"/>
    <w:rsid w:val="00502640"/>
    <w:rsid w:val="00502843"/>
    <w:rsid w:val="005036EC"/>
    <w:rsid w:val="00504202"/>
    <w:rsid w:val="00504443"/>
    <w:rsid w:val="005068A1"/>
    <w:rsid w:val="00506D44"/>
    <w:rsid w:val="00506DBB"/>
    <w:rsid w:val="00507253"/>
    <w:rsid w:val="005074C1"/>
    <w:rsid w:val="0050784B"/>
    <w:rsid w:val="005111DF"/>
    <w:rsid w:val="00511D28"/>
    <w:rsid w:val="00511D43"/>
    <w:rsid w:val="00512F35"/>
    <w:rsid w:val="00513CD3"/>
    <w:rsid w:val="00515973"/>
    <w:rsid w:val="00516341"/>
    <w:rsid w:val="00516B9A"/>
    <w:rsid w:val="00517973"/>
    <w:rsid w:val="00520382"/>
    <w:rsid w:val="005203CA"/>
    <w:rsid w:val="005215DA"/>
    <w:rsid w:val="00521E45"/>
    <w:rsid w:val="00521E9B"/>
    <w:rsid w:val="00522153"/>
    <w:rsid w:val="00522872"/>
    <w:rsid w:val="00523FE7"/>
    <w:rsid w:val="0052451D"/>
    <w:rsid w:val="0052452C"/>
    <w:rsid w:val="00524EBD"/>
    <w:rsid w:val="0052654C"/>
    <w:rsid w:val="00526805"/>
    <w:rsid w:val="00526A10"/>
    <w:rsid w:val="00526C8A"/>
    <w:rsid w:val="00526DB8"/>
    <w:rsid w:val="00527442"/>
    <w:rsid w:val="00531244"/>
    <w:rsid w:val="00531FB3"/>
    <w:rsid w:val="005329AB"/>
    <w:rsid w:val="00532BA0"/>
    <w:rsid w:val="00532FC4"/>
    <w:rsid w:val="00533F76"/>
    <w:rsid w:val="0053421E"/>
    <w:rsid w:val="005347C0"/>
    <w:rsid w:val="00535F33"/>
    <w:rsid w:val="005374AA"/>
    <w:rsid w:val="00537832"/>
    <w:rsid w:val="00540389"/>
    <w:rsid w:val="00540A2A"/>
    <w:rsid w:val="00542ED6"/>
    <w:rsid w:val="005433FA"/>
    <w:rsid w:val="00543576"/>
    <w:rsid w:val="00544648"/>
    <w:rsid w:val="00545F0E"/>
    <w:rsid w:val="0054634F"/>
    <w:rsid w:val="00551195"/>
    <w:rsid w:val="00552080"/>
    <w:rsid w:val="00553197"/>
    <w:rsid w:val="00554CAB"/>
    <w:rsid w:val="00555E4B"/>
    <w:rsid w:val="00555E70"/>
    <w:rsid w:val="005560A3"/>
    <w:rsid w:val="005565DA"/>
    <w:rsid w:val="00556C1A"/>
    <w:rsid w:val="00560394"/>
    <w:rsid w:val="00560935"/>
    <w:rsid w:val="00560A0E"/>
    <w:rsid w:val="00560AC5"/>
    <w:rsid w:val="00561121"/>
    <w:rsid w:val="005615CD"/>
    <w:rsid w:val="00561843"/>
    <w:rsid w:val="00561ABE"/>
    <w:rsid w:val="005624FA"/>
    <w:rsid w:val="00563503"/>
    <w:rsid w:val="00563515"/>
    <w:rsid w:val="005644AD"/>
    <w:rsid w:val="005654AF"/>
    <w:rsid w:val="00565978"/>
    <w:rsid w:val="0056676C"/>
    <w:rsid w:val="00566FAC"/>
    <w:rsid w:val="005679B7"/>
    <w:rsid w:val="00570DEC"/>
    <w:rsid w:val="005717AB"/>
    <w:rsid w:val="00572B4E"/>
    <w:rsid w:val="00573189"/>
    <w:rsid w:val="005732D1"/>
    <w:rsid w:val="00573A76"/>
    <w:rsid w:val="00573CE3"/>
    <w:rsid w:val="00574864"/>
    <w:rsid w:val="00574F93"/>
    <w:rsid w:val="00575A8F"/>
    <w:rsid w:val="005769C6"/>
    <w:rsid w:val="00576D13"/>
    <w:rsid w:val="005810D8"/>
    <w:rsid w:val="00581F35"/>
    <w:rsid w:val="00582DB9"/>
    <w:rsid w:val="005832BB"/>
    <w:rsid w:val="00584C1E"/>
    <w:rsid w:val="00584FE5"/>
    <w:rsid w:val="00585D50"/>
    <w:rsid w:val="005860BA"/>
    <w:rsid w:val="005867EE"/>
    <w:rsid w:val="00587478"/>
    <w:rsid w:val="00587B8E"/>
    <w:rsid w:val="0059025A"/>
    <w:rsid w:val="00590A37"/>
    <w:rsid w:val="00590F64"/>
    <w:rsid w:val="00591192"/>
    <w:rsid w:val="00591754"/>
    <w:rsid w:val="00591C2A"/>
    <w:rsid w:val="00591C36"/>
    <w:rsid w:val="00593A08"/>
    <w:rsid w:val="00593F86"/>
    <w:rsid w:val="0059432B"/>
    <w:rsid w:val="00594642"/>
    <w:rsid w:val="00594713"/>
    <w:rsid w:val="00596732"/>
    <w:rsid w:val="00597CFA"/>
    <w:rsid w:val="005A027C"/>
    <w:rsid w:val="005A09CD"/>
    <w:rsid w:val="005A21F4"/>
    <w:rsid w:val="005A26A8"/>
    <w:rsid w:val="005A39C1"/>
    <w:rsid w:val="005A4D98"/>
    <w:rsid w:val="005A579B"/>
    <w:rsid w:val="005A57DF"/>
    <w:rsid w:val="005A64BC"/>
    <w:rsid w:val="005A71C8"/>
    <w:rsid w:val="005A7EAA"/>
    <w:rsid w:val="005B004A"/>
    <w:rsid w:val="005B024E"/>
    <w:rsid w:val="005B03E6"/>
    <w:rsid w:val="005B0552"/>
    <w:rsid w:val="005B0F6C"/>
    <w:rsid w:val="005B1EC6"/>
    <w:rsid w:val="005B20FF"/>
    <w:rsid w:val="005B2DDF"/>
    <w:rsid w:val="005B51AA"/>
    <w:rsid w:val="005B525F"/>
    <w:rsid w:val="005B5E28"/>
    <w:rsid w:val="005B69DD"/>
    <w:rsid w:val="005B767C"/>
    <w:rsid w:val="005B76F5"/>
    <w:rsid w:val="005C0444"/>
    <w:rsid w:val="005C0E4F"/>
    <w:rsid w:val="005C2746"/>
    <w:rsid w:val="005C2844"/>
    <w:rsid w:val="005C3011"/>
    <w:rsid w:val="005C351D"/>
    <w:rsid w:val="005C4029"/>
    <w:rsid w:val="005C432F"/>
    <w:rsid w:val="005C5D5D"/>
    <w:rsid w:val="005C62C3"/>
    <w:rsid w:val="005C6D36"/>
    <w:rsid w:val="005C6E0E"/>
    <w:rsid w:val="005C7272"/>
    <w:rsid w:val="005C78F6"/>
    <w:rsid w:val="005C7DE9"/>
    <w:rsid w:val="005D06CE"/>
    <w:rsid w:val="005D0FE9"/>
    <w:rsid w:val="005D22F9"/>
    <w:rsid w:val="005D232C"/>
    <w:rsid w:val="005D27E2"/>
    <w:rsid w:val="005D3D5D"/>
    <w:rsid w:val="005D4139"/>
    <w:rsid w:val="005D6002"/>
    <w:rsid w:val="005D698E"/>
    <w:rsid w:val="005D7A26"/>
    <w:rsid w:val="005D7CA9"/>
    <w:rsid w:val="005E02C2"/>
    <w:rsid w:val="005E2A30"/>
    <w:rsid w:val="005E2A31"/>
    <w:rsid w:val="005E2EA4"/>
    <w:rsid w:val="005E369A"/>
    <w:rsid w:val="005E4135"/>
    <w:rsid w:val="005E5242"/>
    <w:rsid w:val="005E64DA"/>
    <w:rsid w:val="005E6FA4"/>
    <w:rsid w:val="005E7224"/>
    <w:rsid w:val="005F05EF"/>
    <w:rsid w:val="005F1053"/>
    <w:rsid w:val="005F27D8"/>
    <w:rsid w:val="005F2B9B"/>
    <w:rsid w:val="005F4849"/>
    <w:rsid w:val="005F4CB8"/>
    <w:rsid w:val="005F5797"/>
    <w:rsid w:val="005F71DB"/>
    <w:rsid w:val="005F7CE2"/>
    <w:rsid w:val="00600121"/>
    <w:rsid w:val="00601BB7"/>
    <w:rsid w:val="00603459"/>
    <w:rsid w:val="00603866"/>
    <w:rsid w:val="00603A6E"/>
    <w:rsid w:val="00605324"/>
    <w:rsid w:val="00606A14"/>
    <w:rsid w:val="00606ED2"/>
    <w:rsid w:val="006070E1"/>
    <w:rsid w:val="00607117"/>
    <w:rsid w:val="006072F2"/>
    <w:rsid w:val="0060736B"/>
    <w:rsid w:val="00610468"/>
    <w:rsid w:val="00610A37"/>
    <w:rsid w:val="00611861"/>
    <w:rsid w:val="00614157"/>
    <w:rsid w:val="006142B5"/>
    <w:rsid w:val="00614403"/>
    <w:rsid w:val="00614C74"/>
    <w:rsid w:val="006164FF"/>
    <w:rsid w:val="00616593"/>
    <w:rsid w:val="00620137"/>
    <w:rsid w:val="006201A0"/>
    <w:rsid w:val="00620949"/>
    <w:rsid w:val="00621900"/>
    <w:rsid w:val="00621E47"/>
    <w:rsid w:val="00623D66"/>
    <w:rsid w:val="00626C76"/>
    <w:rsid w:val="00630CD9"/>
    <w:rsid w:val="00630DBE"/>
    <w:rsid w:val="00631153"/>
    <w:rsid w:val="0063284B"/>
    <w:rsid w:val="00633688"/>
    <w:rsid w:val="00633A35"/>
    <w:rsid w:val="00633E98"/>
    <w:rsid w:val="006341CA"/>
    <w:rsid w:val="00634BC2"/>
    <w:rsid w:val="00634E78"/>
    <w:rsid w:val="00635596"/>
    <w:rsid w:val="00635A2D"/>
    <w:rsid w:val="00636221"/>
    <w:rsid w:val="00636316"/>
    <w:rsid w:val="00636D61"/>
    <w:rsid w:val="00636EEA"/>
    <w:rsid w:val="00637869"/>
    <w:rsid w:val="00637DCB"/>
    <w:rsid w:val="006400C9"/>
    <w:rsid w:val="0064048F"/>
    <w:rsid w:val="00640B91"/>
    <w:rsid w:val="00640EE8"/>
    <w:rsid w:val="0064268C"/>
    <w:rsid w:val="00642B1B"/>
    <w:rsid w:val="00642FDA"/>
    <w:rsid w:val="00643895"/>
    <w:rsid w:val="00643C36"/>
    <w:rsid w:val="00644574"/>
    <w:rsid w:val="00645AD6"/>
    <w:rsid w:val="00646F97"/>
    <w:rsid w:val="0064765B"/>
    <w:rsid w:val="00647FF4"/>
    <w:rsid w:val="00650701"/>
    <w:rsid w:val="00650B27"/>
    <w:rsid w:val="00650EE2"/>
    <w:rsid w:val="00651444"/>
    <w:rsid w:val="006524AF"/>
    <w:rsid w:val="00652734"/>
    <w:rsid w:val="00652BB8"/>
    <w:rsid w:val="006537A3"/>
    <w:rsid w:val="006537B0"/>
    <w:rsid w:val="0065435E"/>
    <w:rsid w:val="00656135"/>
    <w:rsid w:val="00656419"/>
    <w:rsid w:val="00656903"/>
    <w:rsid w:val="00656984"/>
    <w:rsid w:val="00657AD0"/>
    <w:rsid w:val="00660515"/>
    <w:rsid w:val="0066183A"/>
    <w:rsid w:val="00663834"/>
    <w:rsid w:val="00663D67"/>
    <w:rsid w:val="00663F01"/>
    <w:rsid w:val="00664D6B"/>
    <w:rsid w:val="006658CD"/>
    <w:rsid w:val="006669DE"/>
    <w:rsid w:val="00666F94"/>
    <w:rsid w:val="006677CA"/>
    <w:rsid w:val="00667F93"/>
    <w:rsid w:val="00670698"/>
    <w:rsid w:val="006723E9"/>
    <w:rsid w:val="00673600"/>
    <w:rsid w:val="00674EC6"/>
    <w:rsid w:val="006751F0"/>
    <w:rsid w:val="00675A9D"/>
    <w:rsid w:val="00675FF6"/>
    <w:rsid w:val="0067607F"/>
    <w:rsid w:val="006766E8"/>
    <w:rsid w:val="00676C41"/>
    <w:rsid w:val="00677231"/>
    <w:rsid w:val="00681393"/>
    <w:rsid w:val="0068185A"/>
    <w:rsid w:val="00681F1D"/>
    <w:rsid w:val="006822B0"/>
    <w:rsid w:val="006824F2"/>
    <w:rsid w:val="00682D6A"/>
    <w:rsid w:val="0068373F"/>
    <w:rsid w:val="0068389E"/>
    <w:rsid w:val="00683909"/>
    <w:rsid w:val="00684B7B"/>
    <w:rsid w:val="0068501F"/>
    <w:rsid w:val="006857D1"/>
    <w:rsid w:val="00687B71"/>
    <w:rsid w:val="006916FE"/>
    <w:rsid w:val="00693153"/>
    <w:rsid w:val="00694DAF"/>
    <w:rsid w:val="00694EAE"/>
    <w:rsid w:val="006956CC"/>
    <w:rsid w:val="006956D9"/>
    <w:rsid w:val="00695A7E"/>
    <w:rsid w:val="00695AD0"/>
    <w:rsid w:val="00695D64"/>
    <w:rsid w:val="006974BE"/>
    <w:rsid w:val="0069760D"/>
    <w:rsid w:val="00697E4D"/>
    <w:rsid w:val="006A004C"/>
    <w:rsid w:val="006A066C"/>
    <w:rsid w:val="006A14FC"/>
    <w:rsid w:val="006A29FA"/>
    <w:rsid w:val="006A4E1B"/>
    <w:rsid w:val="006A6A32"/>
    <w:rsid w:val="006A6EAA"/>
    <w:rsid w:val="006A789C"/>
    <w:rsid w:val="006A7C47"/>
    <w:rsid w:val="006A7DD0"/>
    <w:rsid w:val="006B0379"/>
    <w:rsid w:val="006B0581"/>
    <w:rsid w:val="006B16B3"/>
    <w:rsid w:val="006B2CC7"/>
    <w:rsid w:val="006B2D95"/>
    <w:rsid w:val="006B30BF"/>
    <w:rsid w:val="006B3680"/>
    <w:rsid w:val="006B494C"/>
    <w:rsid w:val="006B4D54"/>
    <w:rsid w:val="006B79FE"/>
    <w:rsid w:val="006C0CDC"/>
    <w:rsid w:val="006C11E8"/>
    <w:rsid w:val="006C1ABF"/>
    <w:rsid w:val="006C3531"/>
    <w:rsid w:val="006C367E"/>
    <w:rsid w:val="006C41C6"/>
    <w:rsid w:val="006C423F"/>
    <w:rsid w:val="006C4A87"/>
    <w:rsid w:val="006C51C4"/>
    <w:rsid w:val="006C68EB"/>
    <w:rsid w:val="006C6F0F"/>
    <w:rsid w:val="006D0876"/>
    <w:rsid w:val="006D183E"/>
    <w:rsid w:val="006D5081"/>
    <w:rsid w:val="006D6253"/>
    <w:rsid w:val="006D702E"/>
    <w:rsid w:val="006D741D"/>
    <w:rsid w:val="006E06AA"/>
    <w:rsid w:val="006E0DEB"/>
    <w:rsid w:val="006E1AD2"/>
    <w:rsid w:val="006E2633"/>
    <w:rsid w:val="006E263F"/>
    <w:rsid w:val="006E352C"/>
    <w:rsid w:val="006E433B"/>
    <w:rsid w:val="006E43C0"/>
    <w:rsid w:val="006E4CC1"/>
    <w:rsid w:val="006E5394"/>
    <w:rsid w:val="006E628B"/>
    <w:rsid w:val="006E6576"/>
    <w:rsid w:val="006E6A3B"/>
    <w:rsid w:val="006F0F6A"/>
    <w:rsid w:val="006F1464"/>
    <w:rsid w:val="006F1C59"/>
    <w:rsid w:val="006F1E9E"/>
    <w:rsid w:val="006F35D5"/>
    <w:rsid w:val="006F3A8F"/>
    <w:rsid w:val="006F4B63"/>
    <w:rsid w:val="006F4DAF"/>
    <w:rsid w:val="006F6DFD"/>
    <w:rsid w:val="006F7054"/>
    <w:rsid w:val="007004B7"/>
    <w:rsid w:val="00700A9A"/>
    <w:rsid w:val="007013B4"/>
    <w:rsid w:val="00701A67"/>
    <w:rsid w:val="00702331"/>
    <w:rsid w:val="00702409"/>
    <w:rsid w:val="00703195"/>
    <w:rsid w:val="007049AB"/>
    <w:rsid w:val="00704AC0"/>
    <w:rsid w:val="007050A5"/>
    <w:rsid w:val="00706992"/>
    <w:rsid w:val="0070736E"/>
    <w:rsid w:val="00707934"/>
    <w:rsid w:val="00707FC9"/>
    <w:rsid w:val="007113EE"/>
    <w:rsid w:val="00711966"/>
    <w:rsid w:val="00711AEC"/>
    <w:rsid w:val="0071243A"/>
    <w:rsid w:val="00712B1F"/>
    <w:rsid w:val="00712C42"/>
    <w:rsid w:val="007136E8"/>
    <w:rsid w:val="00715D95"/>
    <w:rsid w:val="0071625E"/>
    <w:rsid w:val="00716311"/>
    <w:rsid w:val="0071688D"/>
    <w:rsid w:val="00716C24"/>
    <w:rsid w:val="0071790A"/>
    <w:rsid w:val="007209C4"/>
    <w:rsid w:val="00720AE4"/>
    <w:rsid w:val="00720B1D"/>
    <w:rsid w:val="00722A19"/>
    <w:rsid w:val="00722DA2"/>
    <w:rsid w:val="00722DEB"/>
    <w:rsid w:val="00722F60"/>
    <w:rsid w:val="00722FB8"/>
    <w:rsid w:val="00723CBF"/>
    <w:rsid w:val="00724929"/>
    <w:rsid w:val="00724977"/>
    <w:rsid w:val="00725164"/>
    <w:rsid w:val="00725995"/>
    <w:rsid w:val="007265F4"/>
    <w:rsid w:val="00727227"/>
    <w:rsid w:val="00730295"/>
    <w:rsid w:val="007309D0"/>
    <w:rsid w:val="00730F4C"/>
    <w:rsid w:val="00730FE1"/>
    <w:rsid w:val="00732CCD"/>
    <w:rsid w:val="0073376E"/>
    <w:rsid w:val="00734F76"/>
    <w:rsid w:val="00742DB5"/>
    <w:rsid w:val="00742E06"/>
    <w:rsid w:val="00742E67"/>
    <w:rsid w:val="0074324C"/>
    <w:rsid w:val="007434A2"/>
    <w:rsid w:val="007435AE"/>
    <w:rsid w:val="007436F1"/>
    <w:rsid w:val="007437F5"/>
    <w:rsid w:val="00743EB3"/>
    <w:rsid w:val="00744B47"/>
    <w:rsid w:val="0074530A"/>
    <w:rsid w:val="00745488"/>
    <w:rsid w:val="00745526"/>
    <w:rsid w:val="007455D6"/>
    <w:rsid w:val="00746480"/>
    <w:rsid w:val="00746DA2"/>
    <w:rsid w:val="00747832"/>
    <w:rsid w:val="00750D57"/>
    <w:rsid w:val="0075221D"/>
    <w:rsid w:val="00752FFB"/>
    <w:rsid w:val="00753F12"/>
    <w:rsid w:val="0075545E"/>
    <w:rsid w:val="00755C0D"/>
    <w:rsid w:val="007571D7"/>
    <w:rsid w:val="0075747A"/>
    <w:rsid w:val="007604C8"/>
    <w:rsid w:val="00761179"/>
    <w:rsid w:val="00761D08"/>
    <w:rsid w:val="00762C68"/>
    <w:rsid w:val="00762FFC"/>
    <w:rsid w:val="00764E9D"/>
    <w:rsid w:val="00765641"/>
    <w:rsid w:val="00767174"/>
    <w:rsid w:val="007676AD"/>
    <w:rsid w:val="00767E0F"/>
    <w:rsid w:val="00770B9A"/>
    <w:rsid w:val="00770C16"/>
    <w:rsid w:val="00771EE8"/>
    <w:rsid w:val="007747CA"/>
    <w:rsid w:val="007754FB"/>
    <w:rsid w:val="00775E55"/>
    <w:rsid w:val="00776824"/>
    <w:rsid w:val="007777CC"/>
    <w:rsid w:val="0078100E"/>
    <w:rsid w:val="00783DBA"/>
    <w:rsid w:val="00783EA6"/>
    <w:rsid w:val="00784319"/>
    <w:rsid w:val="00784839"/>
    <w:rsid w:val="0078495C"/>
    <w:rsid w:val="00784A4D"/>
    <w:rsid w:val="00785080"/>
    <w:rsid w:val="00785A1F"/>
    <w:rsid w:val="00786BF7"/>
    <w:rsid w:val="00787493"/>
    <w:rsid w:val="00787870"/>
    <w:rsid w:val="00790EBC"/>
    <w:rsid w:val="007919FF"/>
    <w:rsid w:val="00791A69"/>
    <w:rsid w:val="00792566"/>
    <w:rsid w:val="0079315C"/>
    <w:rsid w:val="00793875"/>
    <w:rsid w:val="00793D23"/>
    <w:rsid w:val="00793E20"/>
    <w:rsid w:val="007941B4"/>
    <w:rsid w:val="0079470C"/>
    <w:rsid w:val="00794796"/>
    <w:rsid w:val="00794834"/>
    <w:rsid w:val="0079498B"/>
    <w:rsid w:val="0079545A"/>
    <w:rsid w:val="007955A3"/>
    <w:rsid w:val="007959D3"/>
    <w:rsid w:val="007960C4"/>
    <w:rsid w:val="00796245"/>
    <w:rsid w:val="00796920"/>
    <w:rsid w:val="007975E6"/>
    <w:rsid w:val="00797738"/>
    <w:rsid w:val="00797EEF"/>
    <w:rsid w:val="007A03BA"/>
    <w:rsid w:val="007A0690"/>
    <w:rsid w:val="007A08A2"/>
    <w:rsid w:val="007A0AE7"/>
    <w:rsid w:val="007A0C66"/>
    <w:rsid w:val="007A2328"/>
    <w:rsid w:val="007A2A0C"/>
    <w:rsid w:val="007A318A"/>
    <w:rsid w:val="007A362F"/>
    <w:rsid w:val="007A4222"/>
    <w:rsid w:val="007A5CA1"/>
    <w:rsid w:val="007A633C"/>
    <w:rsid w:val="007A6534"/>
    <w:rsid w:val="007B0F29"/>
    <w:rsid w:val="007B21BD"/>
    <w:rsid w:val="007B3714"/>
    <w:rsid w:val="007B3E64"/>
    <w:rsid w:val="007B471C"/>
    <w:rsid w:val="007B4AA2"/>
    <w:rsid w:val="007B4FE4"/>
    <w:rsid w:val="007B58EE"/>
    <w:rsid w:val="007B63D8"/>
    <w:rsid w:val="007B65D6"/>
    <w:rsid w:val="007B73E9"/>
    <w:rsid w:val="007B797E"/>
    <w:rsid w:val="007C0739"/>
    <w:rsid w:val="007C0745"/>
    <w:rsid w:val="007C0DB4"/>
    <w:rsid w:val="007C101B"/>
    <w:rsid w:val="007C1D77"/>
    <w:rsid w:val="007C2BB1"/>
    <w:rsid w:val="007C37C1"/>
    <w:rsid w:val="007C3B09"/>
    <w:rsid w:val="007C3D0D"/>
    <w:rsid w:val="007C4ECD"/>
    <w:rsid w:val="007C58D1"/>
    <w:rsid w:val="007C5AD0"/>
    <w:rsid w:val="007C79AA"/>
    <w:rsid w:val="007D17A8"/>
    <w:rsid w:val="007D1EF1"/>
    <w:rsid w:val="007D28F2"/>
    <w:rsid w:val="007D2B7A"/>
    <w:rsid w:val="007D38E4"/>
    <w:rsid w:val="007D39D7"/>
    <w:rsid w:val="007D3D22"/>
    <w:rsid w:val="007D3DB8"/>
    <w:rsid w:val="007D42B2"/>
    <w:rsid w:val="007D438A"/>
    <w:rsid w:val="007D47C4"/>
    <w:rsid w:val="007D577A"/>
    <w:rsid w:val="007D7BBF"/>
    <w:rsid w:val="007D7F34"/>
    <w:rsid w:val="007E053D"/>
    <w:rsid w:val="007E1076"/>
    <w:rsid w:val="007E1131"/>
    <w:rsid w:val="007E1259"/>
    <w:rsid w:val="007E17B1"/>
    <w:rsid w:val="007E2CEB"/>
    <w:rsid w:val="007E30CB"/>
    <w:rsid w:val="007E3A54"/>
    <w:rsid w:val="007E3D7C"/>
    <w:rsid w:val="007E691E"/>
    <w:rsid w:val="007E7E94"/>
    <w:rsid w:val="007F009F"/>
    <w:rsid w:val="007F1E17"/>
    <w:rsid w:val="007F2992"/>
    <w:rsid w:val="007F341D"/>
    <w:rsid w:val="007F37A9"/>
    <w:rsid w:val="007F3CE4"/>
    <w:rsid w:val="007F7705"/>
    <w:rsid w:val="00800AB7"/>
    <w:rsid w:val="00800F1C"/>
    <w:rsid w:val="008019C5"/>
    <w:rsid w:val="00801A96"/>
    <w:rsid w:val="0080231E"/>
    <w:rsid w:val="00802689"/>
    <w:rsid w:val="008026E8"/>
    <w:rsid w:val="0080291A"/>
    <w:rsid w:val="0080386C"/>
    <w:rsid w:val="00803B05"/>
    <w:rsid w:val="008046AB"/>
    <w:rsid w:val="008053F3"/>
    <w:rsid w:val="0080546A"/>
    <w:rsid w:val="0081028B"/>
    <w:rsid w:val="00810587"/>
    <w:rsid w:val="00810EA4"/>
    <w:rsid w:val="00811DCC"/>
    <w:rsid w:val="00812266"/>
    <w:rsid w:val="008122C0"/>
    <w:rsid w:val="0081240A"/>
    <w:rsid w:val="008133C8"/>
    <w:rsid w:val="00813F84"/>
    <w:rsid w:val="00815225"/>
    <w:rsid w:val="008166B2"/>
    <w:rsid w:val="0081707B"/>
    <w:rsid w:val="0082054F"/>
    <w:rsid w:val="00822C6D"/>
    <w:rsid w:val="00823DE9"/>
    <w:rsid w:val="00824500"/>
    <w:rsid w:val="00825051"/>
    <w:rsid w:val="00826B3B"/>
    <w:rsid w:val="00827D04"/>
    <w:rsid w:val="00832148"/>
    <w:rsid w:val="00834613"/>
    <w:rsid w:val="0083505D"/>
    <w:rsid w:val="00835906"/>
    <w:rsid w:val="00836365"/>
    <w:rsid w:val="00837057"/>
    <w:rsid w:val="00837267"/>
    <w:rsid w:val="00840D27"/>
    <w:rsid w:val="00841235"/>
    <w:rsid w:val="00842E20"/>
    <w:rsid w:val="0084394C"/>
    <w:rsid w:val="00844634"/>
    <w:rsid w:val="008457FA"/>
    <w:rsid w:val="00845B71"/>
    <w:rsid w:val="008465E3"/>
    <w:rsid w:val="0084679C"/>
    <w:rsid w:val="00846E2E"/>
    <w:rsid w:val="008474B5"/>
    <w:rsid w:val="0085085F"/>
    <w:rsid w:val="00851D2B"/>
    <w:rsid w:val="0085273D"/>
    <w:rsid w:val="00852E43"/>
    <w:rsid w:val="00853956"/>
    <w:rsid w:val="00853A62"/>
    <w:rsid w:val="00853B9B"/>
    <w:rsid w:val="00856007"/>
    <w:rsid w:val="00856E82"/>
    <w:rsid w:val="0085711D"/>
    <w:rsid w:val="00857793"/>
    <w:rsid w:val="008579BD"/>
    <w:rsid w:val="00857ACE"/>
    <w:rsid w:val="00857EAF"/>
    <w:rsid w:val="00860398"/>
    <w:rsid w:val="00860501"/>
    <w:rsid w:val="00860E88"/>
    <w:rsid w:val="00862656"/>
    <w:rsid w:val="00862848"/>
    <w:rsid w:val="008633E4"/>
    <w:rsid w:val="0086342E"/>
    <w:rsid w:val="0086413C"/>
    <w:rsid w:val="008658BB"/>
    <w:rsid w:val="00866B29"/>
    <w:rsid w:val="00870698"/>
    <w:rsid w:val="00873E84"/>
    <w:rsid w:val="00874F8F"/>
    <w:rsid w:val="0087688B"/>
    <w:rsid w:val="00880FF0"/>
    <w:rsid w:val="00881517"/>
    <w:rsid w:val="008819BF"/>
    <w:rsid w:val="008836FB"/>
    <w:rsid w:val="008841CC"/>
    <w:rsid w:val="0088426A"/>
    <w:rsid w:val="00885D87"/>
    <w:rsid w:val="00886108"/>
    <w:rsid w:val="00887300"/>
    <w:rsid w:val="008873AC"/>
    <w:rsid w:val="0088755E"/>
    <w:rsid w:val="00890927"/>
    <w:rsid w:val="00891D5A"/>
    <w:rsid w:val="00892253"/>
    <w:rsid w:val="00892674"/>
    <w:rsid w:val="008936CC"/>
    <w:rsid w:val="00893ADE"/>
    <w:rsid w:val="00893CEF"/>
    <w:rsid w:val="00894A9F"/>
    <w:rsid w:val="008950A3"/>
    <w:rsid w:val="00895CBA"/>
    <w:rsid w:val="008A0766"/>
    <w:rsid w:val="008A0CC5"/>
    <w:rsid w:val="008A1237"/>
    <w:rsid w:val="008A2AA4"/>
    <w:rsid w:val="008A3B4E"/>
    <w:rsid w:val="008A3D2D"/>
    <w:rsid w:val="008A427C"/>
    <w:rsid w:val="008A5D6A"/>
    <w:rsid w:val="008A60A0"/>
    <w:rsid w:val="008A63AF"/>
    <w:rsid w:val="008A749F"/>
    <w:rsid w:val="008A74FD"/>
    <w:rsid w:val="008A7C63"/>
    <w:rsid w:val="008B00E0"/>
    <w:rsid w:val="008B04B2"/>
    <w:rsid w:val="008B04C1"/>
    <w:rsid w:val="008B04EB"/>
    <w:rsid w:val="008B0D32"/>
    <w:rsid w:val="008B13EB"/>
    <w:rsid w:val="008B148E"/>
    <w:rsid w:val="008B1787"/>
    <w:rsid w:val="008B19B0"/>
    <w:rsid w:val="008B255F"/>
    <w:rsid w:val="008B260D"/>
    <w:rsid w:val="008B2DBE"/>
    <w:rsid w:val="008B2EB1"/>
    <w:rsid w:val="008B4216"/>
    <w:rsid w:val="008B4E28"/>
    <w:rsid w:val="008B5B0C"/>
    <w:rsid w:val="008B6B2C"/>
    <w:rsid w:val="008B6C85"/>
    <w:rsid w:val="008B765F"/>
    <w:rsid w:val="008C0A48"/>
    <w:rsid w:val="008C2C2E"/>
    <w:rsid w:val="008C4183"/>
    <w:rsid w:val="008C5509"/>
    <w:rsid w:val="008C5D3B"/>
    <w:rsid w:val="008C6528"/>
    <w:rsid w:val="008C6711"/>
    <w:rsid w:val="008C7914"/>
    <w:rsid w:val="008C7A21"/>
    <w:rsid w:val="008D03E1"/>
    <w:rsid w:val="008D0D57"/>
    <w:rsid w:val="008D0FE1"/>
    <w:rsid w:val="008D1436"/>
    <w:rsid w:val="008D3575"/>
    <w:rsid w:val="008D3C6C"/>
    <w:rsid w:val="008D403A"/>
    <w:rsid w:val="008D4F1B"/>
    <w:rsid w:val="008D52DC"/>
    <w:rsid w:val="008D6658"/>
    <w:rsid w:val="008E03C8"/>
    <w:rsid w:val="008E03DF"/>
    <w:rsid w:val="008E2240"/>
    <w:rsid w:val="008E36B3"/>
    <w:rsid w:val="008E3A81"/>
    <w:rsid w:val="008E684A"/>
    <w:rsid w:val="008E6AE5"/>
    <w:rsid w:val="008E6C56"/>
    <w:rsid w:val="008E70BF"/>
    <w:rsid w:val="008E7723"/>
    <w:rsid w:val="008F0685"/>
    <w:rsid w:val="008F0B6D"/>
    <w:rsid w:val="008F1C36"/>
    <w:rsid w:val="008F257D"/>
    <w:rsid w:val="008F2BB6"/>
    <w:rsid w:val="008F3217"/>
    <w:rsid w:val="008F3688"/>
    <w:rsid w:val="008F48DF"/>
    <w:rsid w:val="008F4C06"/>
    <w:rsid w:val="008F4DC3"/>
    <w:rsid w:val="008F5722"/>
    <w:rsid w:val="008F6AB7"/>
    <w:rsid w:val="00900154"/>
    <w:rsid w:val="009001CA"/>
    <w:rsid w:val="00900222"/>
    <w:rsid w:val="00900287"/>
    <w:rsid w:val="00900842"/>
    <w:rsid w:val="00900ABE"/>
    <w:rsid w:val="009012F8"/>
    <w:rsid w:val="00901AE8"/>
    <w:rsid w:val="00902BD9"/>
    <w:rsid w:val="00903B4F"/>
    <w:rsid w:val="009049D4"/>
    <w:rsid w:val="00905FD5"/>
    <w:rsid w:val="00906E9B"/>
    <w:rsid w:val="00913E8F"/>
    <w:rsid w:val="0091436E"/>
    <w:rsid w:val="009144AD"/>
    <w:rsid w:val="009157C0"/>
    <w:rsid w:val="009169DA"/>
    <w:rsid w:val="00916C68"/>
    <w:rsid w:val="0091734C"/>
    <w:rsid w:val="00917658"/>
    <w:rsid w:val="009200EA"/>
    <w:rsid w:val="009204A7"/>
    <w:rsid w:val="00920D72"/>
    <w:rsid w:val="00921640"/>
    <w:rsid w:val="009222B7"/>
    <w:rsid w:val="00922A32"/>
    <w:rsid w:val="00923FF5"/>
    <w:rsid w:val="009244F2"/>
    <w:rsid w:val="00924AEB"/>
    <w:rsid w:val="00925930"/>
    <w:rsid w:val="00925E20"/>
    <w:rsid w:val="009260C2"/>
    <w:rsid w:val="009263CD"/>
    <w:rsid w:val="009275E5"/>
    <w:rsid w:val="00927CE2"/>
    <w:rsid w:val="0093175F"/>
    <w:rsid w:val="0093179E"/>
    <w:rsid w:val="00931BD0"/>
    <w:rsid w:val="00931DFF"/>
    <w:rsid w:val="009322A1"/>
    <w:rsid w:val="00933175"/>
    <w:rsid w:val="00933A5A"/>
    <w:rsid w:val="00933E7E"/>
    <w:rsid w:val="0093593A"/>
    <w:rsid w:val="00935BC4"/>
    <w:rsid w:val="00936205"/>
    <w:rsid w:val="00936BB5"/>
    <w:rsid w:val="00937CF2"/>
    <w:rsid w:val="0094054D"/>
    <w:rsid w:val="00941866"/>
    <w:rsid w:val="009421F7"/>
    <w:rsid w:val="009430AD"/>
    <w:rsid w:val="009430F7"/>
    <w:rsid w:val="0094347C"/>
    <w:rsid w:val="00943A29"/>
    <w:rsid w:val="00943CCA"/>
    <w:rsid w:val="00943FE4"/>
    <w:rsid w:val="00944428"/>
    <w:rsid w:val="00944599"/>
    <w:rsid w:val="009446E9"/>
    <w:rsid w:val="00944AA8"/>
    <w:rsid w:val="00944AE0"/>
    <w:rsid w:val="00945847"/>
    <w:rsid w:val="00945AE6"/>
    <w:rsid w:val="009462BB"/>
    <w:rsid w:val="009523A9"/>
    <w:rsid w:val="009529A6"/>
    <w:rsid w:val="00954077"/>
    <w:rsid w:val="0095431F"/>
    <w:rsid w:val="00954AC1"/>
    <w:rsid w:val="00954C9B"/>
    <w:rsid w:val="009604DF"/>
    <w:rsid w:val="00960D6D"/>
    <w:rsid w:val="009610F0"/>
    <w:rsid w:val="0096139C"/>
    <w:rsid w:val="009617B1"/>
    <w:rsid w:val="00961C48"/>
    <w:rsid w:val="00963BE6"/>
    <w:rsid w:val="00963F07"/>
    <w:rsid w:val="0096470D"/>
    <w:rsid w:val="00965EFF"/>
    <w:rsid w:val="00966775"/>
    <w:rsid w:val="00966AD5"/>
    <w:rsid w:val="00966C01"/>
    <w:rsid w:val="00967DB1"/>
    <w:rsid w:val="00967E95"/>
    <w:rsid w:val="0097164D"/>
    <w:rsid w:val="00971E1D"/>
    <w:rsid w:val="00972194"/>
    <w:rsid w:val="0097255E"/>
    <w:rsid w:val="00973468"/>
    <w:rsid w:val="009735E4"/>
    <w:rsid w:val="00974FDD"/>
    <w:rsid w:val="009753C1"/>
    <w:rsid w:val="00975D5F"/>
    <w:rsid w:val="0097774A"/>
    <w:rsid w:val="00977A9E"/>
    <w:rsid w:val="00977B84"/>
    <w:rsid w:val="00980422"/>
    <w:rsid w:val="00981134"/>
    <w:rsid w:val="00982868"/>
    <w:rsid w:val="00982FE1"/>
    <w:rsid w:val="00983237"/>
    <w:rsid w:val="009840A6"/>
    <w:rsid w:val="0098450F"/>
    <w:rsid w:val="00984BAF"/>
    <w:rsid w:val="00985716"/>
    <w:rsid w:val="00985FB0"/>
    <w:rsid w:val="0098688D"/>
    <w:rsid w:val="009869FD"/>
    <w:rsid w:val="0098719F"/>
    <w:rsid w:val="00987BD2"/>
    <w:rsid w:val="00990E11"/>
    <w:rsid w:val="00991064"/>
    <w:rsid w:val="00991171"/>
    <w:rsid w:val="009915DA"/>
    <w:rsid w:val="00991880"/>
    <w:rsid w:val="009936AA"/>
    <w:rsid w:val="0099377F"/>
    <w:rsid w:val="00993874"/>
    <w:rsid w:val="00993D95"/>
    <w:rsid w:val="00995915"/>
    <w:rsid w:val="009959BE"/>
    <w:rsid w:val="00996D68"/>
    <w:rsid w:val="009A0288"/>
    <w:rsid w:val="009A0463"/>
    <w:rsid w:val="009A0F71"/>
    <w:rsid w:val="009A1CF4"/>
    <w:rsid w:val="009A2333"/>
    <w:rsid w:val="009A252E"/>
    <w:rsid w:val="009A27E0"/>
    <w:rsid w:val="009A402B"/>
    <w:rsid w:val="009A4087"/>
    <w:rsid w:val="009A4835"/>
    <w:rsid w:val="009A49AC"/>
    <w:rsid w:val="009A50A8"/>
    <w:rsid w:val="009A6758"/>
    <w:rsid w:val="009B16FB"/>
    <w:rsid w:val="009B175C"/>
    <w:rsid w:val="009B17EA"/>
    <w:rsid w:val="009B1862"/>
    <w:rsid w:val="009B1AEA"/>
    <w:rsid w:val="009B22A4"/>
    <w:rsid w:val="009B23CB"/>
    <w:rsid w:val="009B2E89"/>
    <w:rsid w:val="009B3B5D"/>
    <w:rsid w:val="009B3C8A"/>
    <w:rsid w:val="009B3DDC"/>
    <w:rsid w:val="009B3F16"/>
    <w:rsid w:val="009B403F"/>
    <w:rsid w:val="009B426F"/>
    <w:rsid w:val="009B4AA7"/>
    <w:rsid w:val="009B4FC3"/>
    <w:rsid w:val="009B545E"/>
    <w:rsid w:val="009B5551"/>
    <w:rsid w:val="009B5660"/>
    <w:rsid w:val="009B5D71"/>
    <w:rsid w:val="009C1154"/>
    <w:rsid w:val="009C199B"/>
    <w:rsid w:val="009C1ACF"/>
    <w:rsid w:val="009C35B8"/>
    <w:rsid w:val="009C684C"/>
    <w:rsid w:val="009C7147"/>
    <w:rsid w:val="009D0443"/>
    <w:rsid w:val="009D077C"/>
    <w:rsid w:val="009D08AC"/>
    <w:rsid w:val="009D1107"/>
    <w:rsid w:val="009D1E99"/>
    <w:rsid w:val="009D2544"/>
    <w:rsid w:val="009D3AB3"/>
    <w:rsid w:val="009D4DF4"/>
    <w:rsid w:val="009D610E"/>
    <w:rsid w:val="009D6E67"/>
    <w:rsid w:val="009D78D7"/>
    <w:rsid w:val="009D7BFF"/>
    <w:rsid w:val="009E133C"/>
    <w:rsid w:val="009E264E"/>
    <w:rsid w:val="009E494B"/>
    <w:rsid w:val="009E4B15"/>
    <w:rsid w:val="009E4DCB"/>
    <w:rsid w:val="009E5107"/>
    <w:rsid w:val="009E5E4A"/>
    <w:rsid w:val="009E6176"/>
    <w:rsid w:val="009E6B52"/>
    <w:rsid w:val="009E71CF"/>
    <w:rsid w:val="009F0282"/>
    <w:rsid w:val="009F031D"/>
    <w:rsid w:val="009F0E46"/>
    <w:rsid w:val="009F18C9"/>
    <w:rsid w:val="009F1FA1"/>
    <w:rsid w:val="009F2392"/>
    <w:rsid w:val="009F2455"/>
    <w:rsid w:val="009F2683"/>
    <w:rsid w:val="009F291E"/>
    <w:rsid w:val="009F2AE7"/>
    <w:rsid w:val="009F2B4A"/>
    <w:rsid w:val="009F403E"/>
    <w:rsid w:val="009F4468"/>
    <w:rsid w:val="009F4C07"/>
    <w:rsid w:val="009F4C61"/>
    <w:rsid w:val="009F54BE"/>
    <w:rsid w:val="009F72F4"/>
    <w:rsid w:val="00A002EE"/>
    <w:rsid w:val="00A0070C"/>
    <w:rsid w:val="00A014E5"/>
    <w:rsid w:val="00A02A12"/>
    <w:rsid w:val="00A02E84"/>
    <w:rsid w:val="00A03426"/>
    <w:rsid w:val="00A03589"/>
    <w:rsid w:val="00A03940"/>
    <w:rsid w:val="00A044E4"/>
    <w:rsid w:val="00A049A1"/>
    <w:rsid w:val="00A0556C"/>
    <w:rsid w:val="00A057F0"/>
    <w:rsid w:val="00A05E9B"/>
    <w:rsid w:val="00A062D6"/>
    <w:rsid w:val="00A06FF3"/>
    <w:rsid w:val="00A07020"/>
    <w:rsid w:val="00A07373"/>
    <w:rsid w:val="00A07E45"/>
    <w:rsid w:val="00A10692"/>
    <w:rsid w:val="00A106C2"/>
    <w:rsid w:val="00A11D17"/>
    <w:rsid w:val="00A11D80"/>
    <w:rsid w:val="00A11D95"/>
    <w:rsid w:val="00A12ABE"/>
    <w:rsid w:val="00A13539"/>
    <w:rsid w:val="00A13A8C"/>
    <w:rsid w:val="00A13DFF"/>
    <w:rsid w:val="00A168E8"/>
    <w:rsid w:val="00A16DAB"/>
    <w:rsid w:val="00A17121"/>
    <w:rsid w:val="00A1739E"/>
    <w:rsid w:val="00A17D37"/>
    <w:rsid w:val="00A2319A"/>
    <w:rsid w:val="00A234EB"/>
    <w:rsid w:val="00A23BCA"/>
    <w:rsid w:val="00A23DA3"/>
    <w:rsid w:val="00A25816"/>
    <w:rsid w:val="00A258C1"/>
    <w:rsid w:val="00A2595F"/>
    <w:rsid w:val="00A25EF3"/>
    <w:rsid w:val="00A270D6"/>
    <w:rsid w:val="00A273C8"/>
    <w:rsid w:val="00A27CD6"/>
    <w:rsid w:val="00A30575"/>
    <w:rsid w:val="00A315D1"/>
    <w:rsid w:val="00A3164B"/>
    <w:rsid w:val="00A318CA"/>
    <w:rsid w:val="00A32AC0"/>
    <w:rsid w:val="00A33A29"/>
    <w:rsid w:val="00A33A96"/>
    <w:rsid w:val="00A33CC4"/>
    <w:rsid w:val="00A34764"/>
    <w:rsid w:val="00A34BFE"/>
    <w:rsid w:val="00A34F8B"/>
    <w:rsid w:val="00A35D7A"/>
    <w:rsid w:val="00A370ED"/>
    <w:rsid w:val="00A37276"/>
    <w:rsid w:val="00A3747D"/>
    <w:rsid w:val="00A378BE"/>
    <w:rsid w:val="00A40366"/>
    <w:rsid w:val="00A4047E"/>
    <w:rsid w:val="00A40530"/>
    <w:rsid w:val="00A40FF6"/>
    <w:rsid w:val="00A41C81"/>
    <w:rsid w:val="00A41D8C"/>
    <w:rsid w:val="00A4201D"/>
    <w:rsid w:val="00A427DC"/>
    <w:rsid w:val="00A42C05"/>
    <w:rsid w:val="00A43B23"/>
    <w:rsid w:val="00A43B3B"/>
    <w:rsid w:val="00A43BCB"/>
    <w:rsid w:val="00A44E8C"/>
    <w:rsid w:val="00A45987"/>
    <w:rsid w:val="00A50AE9"/>
    <w:rsid w:val="00A514C9"/>
    <w:rsid w:val="00A524FA"/>
    <w:rsid w:val="00A52833"/>
    <w:rsid w:val="00A5327C"/>
    <w:rsid w:val="00A538B2"/>
    <w:rsid w:val="00A54359"/>
    <w:rsid w:val="00A55034"/>
    <w:rsid w:val="00A609BF"/>
    <w:rsid w:val="00A613B2"/>
    <w:rsid w:val="00A61B5B"/>
    <w:rsid w:val="00A627B4"/>
    <w:rsid w:val="00A6331F"/>
    <w:rsid w:val="00A6454B"/>
    <w:rsid w:val="00A65962"/>
    <w:rsid w:val="00A66881"/>
    <w:rsid w:val="00A66BCE"/>
    <w:rsid w:val="00A678A7"/>
    <w:rsid w:val="00A67FF4"/>
    <w:rsid w:val="00A7069A"/>
    <w:rsid w:val="00A708A1"/>
    <w:rsid w:val="00A71586"/>
    <w:rsid w:val="00A717EC"/>
    <w:rsid w:val="00A71C5C"/>
    <w:rsid w:val="00A740EA"/>
    <w:rsid w:val="00A7411E"/>
    <w:rsid w:val="00A74E38"/>
    <w:rsid w:val="00A75E31"/>
    <w:rsid w:val="00A76054"/>
    <w:rsid w:val="00A76309"/>
    <w:rsid w:val="00A76354"/>
    <w:rsid w:val="00A7734B"/>
    <w:rsid w:val="00A77E22"/>
    <w:rsid w:val="00A80510"/>
    <w:rsid w:val="00A80EBD"/>
    <w:rsid w:val="00A81097"/>
    <w:rsid w:val="00A83454"/>
    <w:rsid w:val="00A83E4A"/>
    <w:rsid w:val="00A83F0A"/>
    <w:rsid w:val="00A83FCF"/>
    <w:rsid w:val="00A841B5"/>
    <w:rsid w:val="00A84908"/>
    <w:rsid w:val="00A84BB0"/>
    <w:rsid w:val="00A8541C"/>
    <w:rsid w:val="00A85480"/>
    <w:rsid w:val="00A86442"/>
    <w:rsid w:val="00A87352"/>
    <w:rsid w:val="00A8778B"/>
    <w:rsid w:val="00A904EB"/>
    <w:rsid w:val="00A92C17"/>
    <w:rsid w:val="00A93053"/>
    <w:rsid w:val="00A957E3"/>
    <w:rsid w:val="00A96138"/>
    <w:rsid w:val="00AA010E"/>
    <w:rsid w:val="00AA0169"/>
    <w:rsid w:val="00AA08BC"/>
    <w:rsid w:val="00AA13B6"/>
    <w:rsid w:val="00AA181D"/>
    <w:rsid w:val="00AA213F"/>
    <w:rsid w:val="00AA2AF6"/>
    <w:rsid w:val="00AA3762"/>
    <w:rsid w:val="00AA612E"/>
    <w:rsid w:val="00AA6610"/>
    <w:rsid w:val="00AA69FA"/>
    <w:rsid w:val="00AA6A99"/>
    <w:rsid w:val="00AA6D99"/>
    <w:rsid w:val="00AA6F00"/>
    <w:rsid w:val="00AA7298"/>
    <w:rsid w:val="00AB169D"/>
    <w:rsid w:val="00AB18A7"/>
    <w:rsid w:val="00AB25D4"/>
    <w:rsid w:val="00AB31D8"/>
    <w:rsid w:val="00AB34FD"/>
    <w:rsid w:val="00AB3C1F"/>
    <w:rsid w:val="00AB3DA3"/>
    <w:rsid w:val="00AB40C2"/>
    <w:rsid w:val="00AB40D0"/>
    <w:rsid w:val="00AB46AE"/>
    <w:rsid w:val="00AB46C6"/>
    <w:rsid w:val="00AB4949"/>
    <w:rsid w:val="00AB4A68"/>
    <w:rsid w:val="00AB5CFC"/>
    <w:rsid w:val="00AB5D17"/>
    <w:rsid w:val="00AB775E"/>
    <w:rsid w:val="00AC157D"/>
    <w:rsid w:val="00AC1CF7"/>
    <w:rsid w:val="00AC1E10"/>
    <w:rsid w:val="00AC3095"/>
    <w:rsid w:val="00AC4F10"/>
    <w:rsid w:val="00AC5240"/>
    <w:rsid w:val="00AC5EA3"/>
    <w:rsid w:val="00AC6D31"/>
    <w:rsid w:val="00AC7663"/>
    <w:rsid w:val="00AC7D62"/>
    <w:rsid w:val="00AC7F8A"/>
    <w:rsid w:val="00AD0477"/>
    <w:rsid w:val="00AD135A"/>
    <w:rsid w:val="00AD4AB2"/>
    <w:rsid w:val="00AD5AA7"/>
    <w:rsid w:val="00AD78AD"/>
    <w:rsid w:val="00AD7F4B"/>
    <w:rsid w:val="00AE0078"/>
    <w:rsid w:val="00AE0114"/>
    <w:rsid w:val="00AE0144"/>
    <w:rsid w:val="00AE19E1"/>
    <w:rsid w:val="00AE1CE7"/>
    <w:rsid w:val="00AE1F7D"/>
    <w:rsid w:val="00AE23E4"/>
    <w:rsid w:val="00AE2B35"/>
    <w:rsid w:val="00AE3654"/>
    <w:rsid w:val="00AE46B1"/>
    <w:rsid w:val="00AE4DD5"/>
    <w:rsid w:val="00AE5266"/>
    <w:rsid w:val="00AE5C4B"/>
    <w:rsid w:val="00AE5C8C"/>
    <w:rsid w:val="00AE6019"/>
    <w:rsid w:val="00AE61E6"/>
    <w:rsid w:val="00AE78F7"/>
    <w:rsid w:val="00AE7F56"/>
    <w:rsid w:val="00AF011C"/>
    <w:rsid w:val="00AF12C7"/>
    <w:rsid w:val="00AF13A5"/>
    <w:rsid w:val="00AF2B51"/>
    <w:rsid w:val="00AF2E4F"/>
    <w:rsid w:val="00AF3ACA"/>
    <w:rsid w:val="00AF4067"/>
    <w:rsid w:val="00AF551D"/>
    <w:rsid w:val="00AF675C"/>
    <w:rsid w:val="00B001DD"/>
    <w:rsid w:val="00B0028B"/>
    <w:rsid w:val="00B010F5"/>
    <w:rsid w:val="00B01116"/>
    <w:rsid w:val="00B02D79"/>
    <w:rsid w:val="00B03308"/>
    <w:rsid w:val="00B037E1"/>
    <w:rsid w:val="00B049F5"/>
    <w:rsid w:val="00B0501A"/>
    <w:rsid w:val="00B054A5"/>
    <w:rsid w:val="00B05A62"/>
    <w:rsid w:val="00B06222"/>
    <w:rsid w:val="00B0667B"/>
    <w:rsid w:val="00B079BF"/>
    <w:rsid w:val="00B07C60"/>
    <w:rsid w:val="00B07C63"/>
    <w:rsid w:val="00B10ED7"/>
    <w:rsid w:val="00B1184F"/>
    <w:rsid w:val="00B12EE2"/>
    <w:rsid w:val="00B1344A"/>
    <w:rsid w:val="00B134D9"/>
    <w:rsid w:val="00B13D02"/>
    <w:rsid w:val="00B13D98"/>
    <w:rsid w:val="00B1493E"/>
    <w:rsid w:val="00B15196"/>
    <w:rsid w:val="00B165CB"/>
    <w:rsid w:val="00B16C5B"/>
    <w:rsid w:val="00B174D6"/>
    <w:rsid w:val="00B20129"/>
    <w:rsid w:val="00B206FE"/>
    <w:rsid w:val="00B21067"/>
    <w:rsid w:val="00B216BB"/>
    <w:rsid w:val="00B21D86"/>
    <w:rsid w:val="00B225F4"/>
    <w:rsid w:val="00B229CF"/>
    <w:rsid w:val="00B24120"/>
    <w:rsid w:val="00B24145"/>
    <w:rsid w:val="00B25AF0"/>
    <w:rsid w:val="00B25B58"/>
    <w:rsid w:val="00B25EC8"/>
    <w:rsid w:val="00B25EFE"/>
    <w:rsid w:val="00B26783"/>
    <w:rsid w:val="00B27888"/>
    <w:rsid w:val="00B27BD1"/>
    <w:rsid w:val="00B30E6C"/>
    <w:rsid w:val="00B3128C"/>
    <w:rsid w:val="00B316AC"/>
    <w:rsid w:val="00B32097"/>
    <w:rsid w:val="00B322F3"/>
    <w:rsid w:val="00B3273F"/>
    <w:rsid w:val="00B32AB7"/>
    <w:rsid w:val="00B32E57"/>
    <w:rsid w:val="00B33205"/>
    <w:rsid w:val="00B3342C"/>
    <w:rsid w:val="00B335FD"/>
    <w:rsid w:val="00B34168"/>
    <w:rsid w:val="00B34860"/>
    <w:rsid w:val="00B35C77"/>
    <w:rsid w:val="00B3637C"/>
    <w:rsid w:val="00B374F4"/>
    <w:rsid w:val="00B376DB"/>
    <w:rsid w:val="00B40B02"/>
    <w:rsid w:val="00B411EB"/>
    <w:rsid w:val="00B41FDC"/>
    <w:rsid w:val="00B42B1F"/>
    <w:rsid w:val="00B44252"/>
    <w:rsid w:val="00B448A2"/>
    <w:rsid w:val="00B46BB0"/>
    <w:rsid w:val="00B4727E"/>
    <w:rsid w:val="00B4729D"/>
    <w:rsid w:val="00B47BF0"/>
    <w:rsid w:val="00B5053A"/>
    <w:rsid w:val="00B506E0"/>
    <w:rsid w:val="00B50FD7"/>
    <w:rsid w:val="00B51C00"/>
    <w:rsid w:val="00B51D71"/>
    <w:rsid w:val="00B527D7"/>
    <w:rsid w:val="00B53034"/>
    <w:rsid w:val="00B53926"/>
    <w:rsid w:val="00B54562"/>
    <w:rsid w:val="00B54D15"/>
    <w:rsid w:val="00B54D1C"/>
    <w:rsid w:val="00B5516A"/>
    <w:rsid w:val="00B566E4"/>
    <w:rsid w:val="00B57351"/>
    <w:rsid w:val="00B60088"/>
    <w:rsid w:val="00B6067F"/>
    <w:rsid w:val="00B60FF0"/>
    <w:rsid w:val="00B624BB"/>
    <w:rsid w:val="00B624D5"/>
    <w:rsid w:val="00B63512"/>
    <w:rsid w:val="00B642F3"/>
    <w:rsid w:val="00B65B3F"/>
    <w:rsid w:val="00B65F85"/>
    <w:rsid w:val="00B660F2"/>
    <w:rsid w:val="00B66DD4"/>
    <w:rsid w:val="00B675B6"/>
    <w:rsid w:val="00B70373"/>
    <w:rsid w:val="00B71646"/>
    <w:rsid w:val="00B71C08"/>
    <w:rsid w:val="00B72280"/>
    <w:rsid w:val="00B7251A"/>
    <w:rsid w:val="00B72C81"/>
    <w:rsid w:val="00B753D4"/>
    <w:rsid w:val="00B75BB1"/>
    <w:rsid w:val="00B76D2C"/>
    <w:rsid w:val="00B773E5"/>
    <w:rsid w:val="00B77B3C"/>
    <w:rsid w:val="00B77F56"/>
    <w:rsid w:val="00B80507"/>
    <w:rsid w:val="00B8431B"/>
    <w:rsid w:val="00B8519F"/>
    <w:rsid w:val="00B869C5"/>
    <w:rsid w:val="00B86EC1"/>
    <w:rsid w:val="00B87505"/>
    <w:rsid w:val="00B91235"/>
    <w:rsid w:val="00B91B32"/>
    <w:rsid w:val="00B94DB4"/>
    <w:rsid w:val="00B94FAA"/>
    <w:rsid w:val="00B95924"/>
    <w:rsid w:val="00B96455"/>
    <w:rsid w:val="00BA18C7"/>
    <w:rsid w:val="00BA1A8F"/>
    <w:rsid w:val="00BA1AD6"/>
    <w:rsid w:val="00BA22FA"/>
    <w:rsid w:val="00BA29A4"/>
    <w:rsid w:val="00BA469E"/>
    <w:rsid w:val="00BA4A2E"/>
    <w:rsid w:val="00BA5EFA"/>
    <w:rsid w:val="00BA7004"/>
    <w:rsid w:val="00BA76EE"/>
    <w:rsid w:val="00BB025E"/>
    <w:rsid w:val="00BB1518"/>
    <w:rsid w:val="00BB231C"/>
    <w:rsid w:val="00BB3187"/>
    <w:rsid w:val="00BB34A3"/>
    <w:rsid w:val="00BB3DE5"/>
    <w:rsid w:val="00BB464A"/>
    <w:rsid w:val="00BB523B"/>
    <w:rsid w:val="00BB70D5"/>
    <w:rsid w:val="00BB7356"/>
    <w:rsid w:val="00BB7447"/>
    <w:rsid w:val="00BB7960"/>
    <w:rsid w:val="00BC013A"/>
    <w:rsid w:val="00BC087C"/>
    <w:rsid w:val="00BC14DF"/>
    <w:rsid w:val="00BC1854"/>
    <w:rsid w:val="00BC1AA6"/>
    <w:rsid w:val="00BC1D51"/>
    <w:rsid w:val="00BC1E3D"/>
    <w:rsid w:val="00BC2203"/>
    <w:rsid w:val="00BC285A"/>
    <w:rsid w:val="00BC2DFE"/>
    <w:rsid w:val="00BC2E74"/>
    <w:rsid w:val="00BC31A2"/>
    <w:rsid w:val="00BC4843"/>
    <w:rsid w:val="00BC5AC6"/>
    <w:rsid w:val="00BC5DC0"/>
    <w:rsid w:val="00BC6EB3"/>
    <w:rsid w:val="00BC7D00"/>
    <w:rsid w:val="00BC7E17"/>
    <w:rsid w:val="00BC7EBB"/>
    <w:rsid w:val="00BD0222"/>
    <w:rsid w:val="00BD077D"/>
    <w:rsid w:val="00BD107B"/>
    <w:rsid w:val="00BD12D9"/>
    <w:rsid w:val="00BD2F02"/>
    <w:rsid w:val="00BD64B2"/>
    <w:rsid w:val="00BD65DF"/>
    <w:rsid w:val="00BD6912"/>
    <w:rsid w:val="00BD795E"/>
    <w:rsid w:val="00BE05D5"/>
    <w:rsid w:val="00BE31B3"/>
    <w:rsid w:val="00BE345E"/>
    <w:rsid w:val="00BE3749"/>
    <w:rsid w:val="00BE3E2A"/>
    <w:rsid w:val="00BE4355"/>
    <w:rsid w:val="00BE452C"/>
    <w:rsid w:val="00BE5B9C"/>
    <w:rsid w:val="00BE6017"/>
    <w:rsid w:val="00BE62AC"/>
    <w:rsid w:val="00BE73AB"/>
    <w:rsid w:val="00BE7D1B"/>
    <w:rsid w:val="00BF0E09"/>
    <w:rsid w:val="00BF1D8E"/>
    <w:rsid w:val="00BF2B9F"/>
    <w:rsid w:val="00BF2D05"/>
    <w:rsid w:val="00BF3034"/>
    <w:rsid w:val="00BF338F"/>
    <w:rsid w:val="00BF4B08"/>
    <w:rsid w:val="00BF5881"/>
    <w:rsid w:val="00BF608C"/>
    <w:rsid w:val="00BF617A"/>
    <w:rsid w:val="00BF61E0"/>
    <w:rsid w:val="00BF65EB"/>
    <w:rsid w:val="00BF72AF"/>
    <w:rsid w:val="00C00226"/>
    <w:rsid w:val="00C01512"/>
    <w:rsid w:val="00C01C3D"/>
    <w:rsid w:val="00C02301"/>
    <w:rsid w:val="00C023D3"/>
    <w:rsid w:val="00C0274B"/>
    <w:rsid w:val="00C0364F"/>
    <w:rsid w:val="00C0386F"/>
    <w:rsid w:val="00C04243"/>
    <w:rsid w:val="00C054AB"/>
    <w:rsid w:val="00C06B9E"/>
    <w:rsid w:val="00C07D86"/>
    <w:rsid w:val="00C07EFD"/>
    <w:rsid w:val="00C10492"/>
    <w:rsid w:val="00C11323"/>
    <w:rsid w:val="00C13080"/>
    <w:rsid w:val="00C14298"/>
    <w:rsid w:val="00C14941"/>
    <w:rsid w:val="00C14AC7"/>
    <w:rsid w:val="00C1502D"/>
    <w:rsid w:val="00C15525"/>
    <w:rsid w:val="00C15A4C"/>
    <w:rsid w:val="00C15E6C"/>
    <w:rsid w:val="00C17A31"/>
    <w:rsid w:val="00C21411"/>
    <w:rsid w:val="00C22D9F"/>
    <w:rsid w:val="00C23DCD"/>
    <w:rsid w:val="00C23E4F"/>
    <w:rsid w:val="00C24D0C"/>
    <w:rsid w:val="00C2500E"/>
    <w:rsid w:val="00C2514A"/>
    <w:rsid w:val="00C25728"/>
    <w:rsid w:val="00C25ABA"/>
    <w:rsid w:val="00C25C3B"/>
    <w:rsid w:val="00C30655"/>
    <w:rsid w:val="00C30FB8"/>
    <w:rsid w:val="00C31C88"/>
    <w:rsid w:val="00C32315"/>
    <w:rsid w:val="00C32865"/>
    <w:rsid w:val="00C33167"/>
    <w:rsid w:val="00C33B85"/>
    <w:rsid w:val="00C34CB7"/>
    <w:rsid w:val="00C35F7E"/>
    <w:rsid w:val="00C36755"/>
    <w:rsid w:val="00C371C5"/>
    <w:rsid w:val="00C37BEE"/>
    <w:rsid w:val="00C40477"/>
    <w:rsid w:val="00C40FB1"/>
    <w:rsid w:val="00C412F1"/>
    <w:rsid w:val="00C42946"/>
    <w:rsid w:val="00C46854"/>
    <w:rsid w:val="00C46963"/>
    <w:rsid w:val="00C470AD"/>
    <w:rsid w:val="00C4761D"/>
    <w:rsid w:val="00C47C15"/>
    <w:rsid w:val="00C5067E"/>
    <w:rsid w:val="00C5080F"/>
    <w:rsid w:val="00C50C88"/>
    <w:rsid w:val="00C50E64"/>
    <w:rsid w:val="00C51311"/>
    <w:rsid w:val="00C52226"/>
    <w:rsid w:val="00C52DC9"/>
    <w:rsid w:val="00C53727"/>
    <w:rsid w:val="00C53FDB"/>
    <w:rsid w:val="00C54371"/>
    <w:rsid w:val="00C545A9"/>
    <w:rsid w:val="00C54DD8"/>
    <w:rsid w:val="00C55080"/>
    <w:rsid w:val="00C55363"/>
    <w:rsid w:val="00C55CE2"/>
    <w:rsid w:val="00C56D30"/>
    <w:rsid w:val="00C6037C"/>
    <w:rsid w:val="00C60B0F"/>
    <w:rsid w:val="00C60DF0"/>
    <w:rsid w:val="00C6133A"/>
    <w:rsid w:val="00C61AFB"/>
    <w:rsid w:val="00C62C05"/>
    <w:rsid w:val="00C64330"/>
    <w:rsid w:val="00C64375"/>
    <w:rsid w:val="00C647CC"/>
    <w:rsid w:val="00C650AA"/>
    <w:rsid w:val="00C65D20"/>
    <w:rsid w:val="00C66377"/>
    <w:rsid w:val="00C67807"/>
    <w:rsid w:val="00C71154"/>
    <w:rsid w:val="00C71E4F"/>
    <w:rsid w:val="00C71EF8"/>
    <w:rsid w:val="00C740A3"/>
    <w:rsid w:val="00C74149"/>
    <w:rsid w:val="00C744AB"/>
    <w:rsid w:val="00C7466D"/>
    <w:rsid w:val="00C749D6"/>
    <w:rsid w:val="00C7598B"/>
    <w:rsid w:val="00C769C5"/>
    <w:rsid w:val="00C777D5"/>
    <w:rsid w:val="00C80416"/>
    <w:rsid w:val="00C81D9B"/>
    <w:rsid w:val="00C82034"/>
    <w:rsid w:val="00C82C53"/>
    <w:rsid w:val="00C83FBC"/>
    <w:rsid w:val="00C845BA"/>
    <w:rsid w:val="00C85BE7"/>
    <w:rsid w:val="00C85D03"/>
    <w:rsid w:val="00C85D4C"/>
    <w:rsid w:val="00C868E4"/>
    <w:rsid w:val="00C917AF"/>
    <w:rsid w:val="00C917B3"/>
    <w:rsid w:val="00C919BB"/>
    <w:rsid w:val="00C927D4"/>
    <w:rsid w:val="00C94929"/>
    <w:rsid w:val="00C94F1E"/>
    <w:rsid w:val="00C9587B"/>
    <w:rsid w:val="00C95B26"/>
    <w:rsid w:val="00C962B8"/>
    <w:rsid w:val="00C97354"/>
    <w:rsid w:val="00C97743"/>
    <w:rsid w:val="00CA03C5"/>
    <w:rsid w:val="00CA046C"/>
    <w:rsid w:val="00CA2158"/>
    <w:rsid w:val="00CA2F9E"/>
    <w:rsid w:val="00CA71FA"/>
    <w:rsid w:val="00CA74A3"/>
    <w:rsid w:val="00CB01A1"/>
    <w:rsid w:val="00CB08DE"/>
    <w:rsid w:val="00CB0EF3"/>
    <w:rsid w:val="00CB12A3"/>
    <w:rsid w:val="00CB3A52"/>
    <w:rsid w:val="00CB562E"/>
    <w:rsid w:val="00CB58BD"/>
    <w:rsid w:val="00CB60CB"/>
    <w:rsid w:val="00CB61F1"/>
    <w:rsid w:val="00CB6433"/>
    <w:rsid w:val="00CB6D27"/>
    <w:rsid w:val="00CC1C40"/>
    <w:rsid w:val="00CC2465"/>
    <w:rsid w:val="00CC2F17"/>
    <w:rsid w:val="00CC3F66"/>
    <w:rsid w:val="00CC4564"/>
    <w:rsid w:val="00CC4B6F"/>
    <w:rsid w:val="00CC53F8"/>
    <w:rsid w:val="00CC56DC"/>
    <w:rsid w:val="00CC570F"/>
    <w:rsid w:val="00CC5E86"/>
    <w:rsid w:val="00CC6DFC"/>
    <w:rsid w:val="00CC72A4"/>
    <w:rsid w:val="00CD07B4"/>
    <w:rsid w:val="00CD090E"/>
    <w:rsid w:val="00CD1717"/>
    <w:rsid w:val="00CD1723"/>
    <w:rsid w:val="00CD1B40"/>
    <w:rsid w:val="00CD2127"/>
    <w:rsid w:val="00CD2E70"/>
    <w:rsid w:val="00CD36C5"/>
    <w:rsid w:val="00CD3D19"/>
    <w:rsid w:val="00CD4309"/>
    <w:rsid w:val="00CD4835"/>
    <w:rsid w:val="00CD4A5A"/>
    <w:rsid w:val="00CD4C85"/>
    <w:rsid w:val="00CD58A1"/>
    <w:rsid w:val="00CD602B"/>
    <w:rsid w:val="00CD649C"/>
    <w:rsid w:val="00CD6B66"/>
    <w:rsid w:val="00CD6BD1"/>
    <w:rsid w:val="00CD76AB"/>
    <w:rsid w:val="00CD792D"/>
    <w:rsid w:val="00CD7D61"/>
    <w:rsid w:val="00CE0224"/>
    <w:rsid w:val="00CE0AF9"/>
    <w:rsid w:val="00CE120F"/>
    <w:rsid w:val="00CE1577"/>
    <w:rsid w:val="00CE1B97"/>
    <w:rsid w:val="00CE350F"/>
    <w:rsid w:val="00CE3A48"/>
    <w:rsid w:val="00CE4554"/>
    <w:rsid w:val="00CE6649"/>
    <w:rsid w:val="00CE6867"/>
    <w:rsid w:val="00CE6BBE"/>
    <w:rsid w:val="00CE6FE9"/>
    <w:rsid w:val="00CE7788"/>
    <w:rsid w:val="00CE7A71"/>
    <w:rsid w:val="00CF1439"/>
    <w:rsid w:val="00CF14AB"/>
    <w:rsid w:val="00CF18E2"/>
    <w:rsid w:val="00CF270B"/>
    <w:rsid w:val="00CF2BAD"/>
    <w:rsid w:val="00CF338C"/>
    <w:rsid w:val="00CF476E"/>
    <w:rsid w:val="00CF4F11"/>
    <w:rsid w:val="00CF5BF3"/>
    <w:rsid w:val="00CF6A95"/>
    <w:rsid w:val="00CF7141"/>
    <w:rsid w:val="00CF7308"/>
    <w:rsid w:val="00CF7348"/>
    <w:rsid w:val="00D007D3"/>
    <w:rsid w:val="00D011A0"/>
    <w:rsid w:val="00D0230B"/>
    <w:rsid w:val="00D024D5"/>
    <w:rsid w:val="00D02F56"/>
    <w:rsid w:val="00D03490"/>
    <w:rsid w:val="00D03B89"/>
    <w:rsid w:val="00D056AE"/>
    <w:rsid w:val="00D07A8D"/>
    <w:rsid w:val="00D1014C"/>
    <w:rsid w:val="00D10A50"/>
    <w:rsid w:val="00D11EC4"/>
    <w:rsid w:val="00D1350C"/>
    <w:rsid w:val="00D1355B"/>
    <w:rsid w:val="00D13799"/>
    <w:rsid w:val="00D14032"/>
    <w:rsid w:val="00D166FB"/>
    <w:rsid w:val="00D16BB6"/>
    <w:rsid w:val="00D16C1B"/>
    <w:rsid w:val="00D20D81"/>
    <w:rsid w:val="00D2129A"/>
    <w:rsid w:val="00D253B4"/>
    <w:rsid w:val="00D25B08"/>
    <w:rsid w:val="00D25D10"/>
    <w:rsid w:val="00D26844"/>
    <w:rsid w:val="00D26B4C"/>
    <w:rsid w:val="00D2797F"/>
    <w:rsid w:val="00D31EA5"/>
    <w:rsid w:val="00D32198"/>
    <w:rsid w:val="00D32D8F"/>
    <w:rsid w:val="00D349CD"/>
    <w:rsid w:val="00D34A87"/>
    <w:rsid w:val="00D34DD4"/>
    <w:rsid w:val="00D355F2"/>
    <w:rsid w:val="00D35908"/>
    <w:rsid w:val="00D368B5"/>
    <w:rsid w:val="00D36E76"/>
    <w:rsid w:val="00D37394"/>
    <w:rsid w:val="00D378DB"/>
    <w:rsid w:val="00D40D00"/>
    <w:rsid w:val="00D41938"/>
    <w:rsid w:val="00D41E83"/>
    <w:rsid w:val="00D41F22"/>
    <w:rsid w:val="00D42940"/>
    <w:rsid w:val="00D431B5"/>
    <w:rsid w:val="00D44C3F"/>
    <w:rsid w:val="00D46EDB"/>
    <w:rsid w:val="00D47BF1"/>
    <w:rsid w:val="00D51F81"/>
    <w:rsid w:val="00D52312"/>
    <w:rsid w:val="00D526C9"/>
    <w:rsid w:val="00D527A3"/>
    <w:rsid w:val="00D53CC8"/>
    <w:rsid w:val="00D53E79"/>
    <w:rsid w:val="00D53FA1"/>
    <w:rsid w:val="00D54696"/>
    <w:rsid w:val="00D5579E"/>
    <w:rsid w:val="00D56533"/>
    <w:rsid w:val="00D57847"/>
    <w:rsid w:val="00D5799C"/>
    <w:rsid w:val="00D60B9B"/>
    <w:rsid w:val="00D60D00"/>
    <w:rsid w:val="00D625C9"/>
    <w:rsid w:val="00D63C5B"/>
    <w:rsid w:val="00D64873"/>
    <w:rsid w:val="00D65CA6"/>
    <w:rsid w:val="00D65E1F"/>
    <w:rsid w:val="00D6645B"/>
    <w:rsid w:val="00D6664B"/>
    <w:rsid w:val="00D67D92"/>
    <w:rsid w:val="00D706C0"/>
    <w:rsid w:val="00D70F53"/>
    <w:rsid w:val="00D71151"/>
    <w:rsid w:val="00D71ED0"/>
    <w:rsid w:val="00D72AC5"/>
    <w:rsid w:val="00D72B92"/>
    <w:rsid w:val="00D742EE"/>
    <w:rsid w:val="00D7751A"/>
    <w:rsid w:val="00D804B2"/>
    <w:rsid w:val="00D81553"/>
    <w:rsid w:val="00D81F02"/>
    <w:rsid w:val="00D831CD"/>
    <w:rsid w:val="00D84510"/>
    <w:rsid w:val="00D86406"/>
    <w:rsid w:val="00D864F0"/>
    <w:rsid w:val="00D87CD5"/>
    <w:rsid w:val="00D87D44"/>
    <w:rsid w:val="00D909E4"/>
    <w:rsid w:val="00D90FD3"/>
    <w:rsid w:val="00D92DC3"/>
    <w:rsid w:val="00D92FB0"/>
    <w:rsid w:val="00D9313F"/>
    <w:rsid w:val="00D9320F"/>
    <w:rsid w:val="00D935EE"/>
    <w:rsid w:val="00D93870"/>
    <w:rsid w:val="00D9444F"/>
    <w:rsid w:val="00D947AE"/>
    <w:rsid w:val="00D94C04"/>
    <w:rsid w:val="00D95BD0"/>
    <w:rsid w:val="00D96A66"/>
    <w:rsid w:val="00D96BDD"/>
    <w:rsid w:val="00D96CFD"/>
    <w:rsid w:val="00D96D43"/>
    <w:rsid w:val="00D973E1"/>
    <w:rsid w:val="00D977A2"/>
    <w:rsid w:val="00D9785C"/>
    <w:rsid w:val="00DA065C"/>
    <w:rsid w:val="00DA07DB"/>
    <w:rsid w:val="00DA122E"/>
    <w:rsid w:val="00DA1608"/>
    <w:rsid w:val="00DA1FBF"/>
    <w:rsid w:val="00DA2251"/>
    <w:rsid w:val="00DA2BD6"/>
    <w:rsid w:val="00DA2EB5"/>
    <w:rsid w:val="00DA3624"/>
    <w:rsid w:val="00DA42DD"/>
    <w:rsid w:val="00DA50E7"/>
    <w:rsid w:val="00DA6172"/>
    <w:rsid w:val="00DA7871"/>
    <w:rsid w:val="00DB0809"/>
    <w:rsid w:val="00DB0B0C"/>
    <w:rsid w:val="00DB0C9A"/>
    <w:rsid w:val="00DB201B"/>
    <w:rsid w:val="00DB342E"/>
    <w:rsid w:val="00DB353B"/>
    <w:rsid w:val="00DB4F79"/>
    <w:rsid w:val="00DB6132"/>
    <w:rsid w:val="00DB6291"/>
    <w:rsid w:val="00DB6C03"/>
    <w:rsid w:val="00DB6CF7"/>
    <w:rsid w:val="00DB79FB"/>
    <w:rsid w:val="00DB7EA1"/>
    <w:rsid w:val="00DC00A4"/>
    <w:rsid w:val="00DC073C"/>
    <w:rsid w:val="00DC07C4"/>
    <w:rsid w:val="00DC10F1"/>
    <w:rsid w:val="00DC2387"/>
    <w:rsid w:val="00DC34B0"/>
    <w:rsid w:val="00DC3B7E"/>
    <w:rsid w:val="00DC3E8C"/>
    <w:rsid w:val="00DC4FBF"/>
    <w:rsid w:val="00DC53D7"/>
    <w:rsid w:val="00DC5651"/>
    <w:rsid w:val="00DC6613"/>
    <w:rsid w:val="00DC7236"/>
    <w:rsid w:val="00DD0897"/>
    <w:rsid w:val="00DD1635"/>
    <w:rsid w:val="00DD1F64"/>
    <w:rsid w:val="00DD2175"/>
    <w:rsid w:val="00DD2409"/>
    <w:rsid w:val="00DD331D"/>
    <w:rsid w:val="00DD6BA7"/>
    <w:rsid w:val="00DD6F98"/>
    <w:rsid w:val="00DD77E5"/>
    <w:rsid w:val="00DD7B14"/>
    <w:rsid w:val="00DE0464"/>
    <w:rsid w:val="00DE08D9"/>
    <w:rsid w:val="00DE0E97"/>
    <w:rsid w:val="00DE25B9"/>
    <w:rsid w:val="00DE282C"/>
    <w:rsid w:val="00DE33DB"/>
    <w:rsid w:val="00DE3E5A"/>
    <w:rsid w:val="00DE41DA"/>
    <w:rsid w:val="00DE4FB9"/>
    <w:rsid w:val="00DE5EC7"/>
    <w:rsid w:val="00DE7C62"/>
    <w:rsid w:val="00DF1159"/>
    <w:rsid w:val="00DF11A8"/>
    <w:rsid w:val="00DF1BA3"/>
    <w:rsid w:val="00DF2519"/>
    <w:rsid w:val="00DF37A1"/>
    <w:rsid w:val="00DF3B66"/>
    <w:rsid w:val="00DF3FA5"/>
    <w:rsid w:val="00DF3FD8"/>
    <w:rsid w:val="00DF4CC2"/>
    <w:rsid w:val="00DF4E70"/>
    <w:rsid w:val="00DF763E"/>
    <w:rsid w:val="00DF7D31"/>
    <w:rsid w:val="00DF7DF4"/>
    <w:rsid w:val="00E00CBA"/>
    <w:rsid w:val="00E01220"/>
    <w:rsid w:val="00E0389A"/>
    <w:rsid w:val="00E04574"/>
    <w:rsid w:val="00E04F98"/>
    <w:rsid w:val="00E05182"/>
    <w:rsid w:val="00E06F4C"/>
    <w:rsid w:val="00E10ABC"/>
    <w:rsid w:val="00E10C67"/>
    <w:rsid w:val="00E10D16"/>
    <w:rsid w:val="00E1216C"/>
    <w:rsid w:val="00E12D3C"/>
    <w:rsid w:val="00E13550"/>
    <w:rsid w:val="00E13842"/>
    <w:rsid w:val="00E1519F"/>
    <w:rsid w:val="00E15551"/>
    <w:rsid w:val="00E155B2"/>
    <w:rsid w:val="00E16129"/>
    <w:rsid w:val="00E1745F"/>
    <w:rsid w:val="00E174DB"/>
    <w:rsid w:val="00E17F37"/>
    <w:rsid w:val="00E21520"/>
    <w:rsid w:val="00E21882"/>
    <w:rsid w:val="00E21A96"/>
    <w:rsid w:val="00E21B49"/>
    <w:rsid w:val="00E21D0D"/>
    <w:rsid w:val="00E21E08"/>
    <w:rsid w:val="00E22231"/>
    <w:rsid w:val="00E223F9"/>
    <w:rsid w:val="00E22A27"/>
    <w:rsid w:val="00E22A2E"/>
    <w:rsid w:val="00E24271"/>
    <w:rsid w:val="00E24486"/>
    <w:rsid w:val="00E244CE"/>
    <w:rsid w:val="00E27036"/>
    <w:rsid w:val="00E279B3"/>
    <w:rsid w:val="00E27C50"/>
    <w:rsid w:val="00E31C3A"/>
    <w:rsid w:val="00E32328"/>
    <w:rsid w:val="00E329B3"/>
    <w:rsid w:val="00E33B90"/>
    <w:rsid w:val="00E342E6"/>
    <w:rsid w:val="00E36A03"/>
    <w:rsid w:val="00E36B3D"/>
    <w:rsid w:val="00E37948"/>
    <w:rsid w:val="00E37EC9"/>
    <w:rsid w:val="00E4048D"/>
    <w:rsid w:val="00E4156F"/>
    <w:rsid w:val="00E41A8B"/>
    <w:rsid w:val="00E41A97"/>
    <w:rsid w:val="00E41E98"/>
    <w:rsid w:val="00E41FAE"/>
    <w:rsid w:val="00E42CF5"/>
    <w:rsid w:val="00E43DB5"/>
    <w:rsid w:val="00E445D6"/>
    <w:rsid w:val="00E44F7D"/>
    <w:rsid w:val="00E454C8"/>
    <w:rsid w:val="00E4575B"/>
    <w:rsid w:val="00E45E9A"/>
    <w:rsid w:val="00E46448"/>
    <w:rsid w:val="00E46BE1"/>
    <w:rsid w:val="00E470B2"/>
    <w:rsid w:val="00E47764"/>
    <w:rsid w:val="00E50987"/>
    <w:rsid w:val="00E51EEE"/>
    <w:rsid w:val="00E52343"/>
    <w:rsid w:val="00E5291C"/>
    <w:rsid w:val="00E52EAA"/>
    <w:rsid w:val="00E52FD1"/>
    <w:rsid w:val="00E539DE"/>
    <w:rsid w:val="00E53C1F"/>
    <w:rsid w:val="00E53EB5"/>
    <w:rsid w:val="00E55440"/>
    <w:rsid w:val="00E55AC9"/>
    <w:rsid w:val="00E56F17"/>
    <w:rsid w:val="00E56F6E"/>
    <w:rsid w:val="00E60976"/>
    <w:rsid w:val="00E60DED"/>
    <w:rsid w:val="00E62269"/>
    <w:rsid w:val="00E6285C"/>
    <w:rsid w:val="00E62CB0"/>
    <w:rsid w:val="00E62F00"/>
    <w:rsid w:val="00E631AD"/>
    <w:rsid w:val="00E64079"/>
    <w:rsid w:val="00E64569"/>
    <w:rsid w:val="00E64FB0"/>
    <w:rsid w:val="00E653DE"/>
    <w:rsid w:val="00E65A42"/>
    <w:rsid w:val="00E662C5"/>
    <w:rsid w:val="00E663B8"/>
    <w:rsid w:val="00E66B18"/>
    <w:rsid w:val="00E66D92"/>
    <w:rsid w:val="00E675E6"/>
    <w:rsid w:val="00E67BDC"/>
    <w:rsid w:val="00E7018A"/>
    <w:rsid w:val="00E70D55"/>
    <w:rsid w:val="00E70E0E"/>
    <w:rsid w:val="00E71281"/>
    <w:rsid w:val="00E7158E"/>
    <w:rsid w:val="00E72B1F"/>
    <w:rsid w:val="00E73B33"/>
    <w:rsid w:val="00E740CF"/>
    <w:rsid w:val="00E743EC"/>
    <w:rsid w:val="00E74B54"/>
    <w:rsid w:val="00E76194"/>
    <w:rsid w:val="00E76FCC"/>
    <w:rsid w:val="00E77919"/>
    <w:rsid w:val="00E8166F"/>
    <w:rsid w:val="00E81FF6"/>
    <w:rsid w:val="00E83653"/>
    <w:rsid w:val="00E84144"/>
    <w:rsid w:val="00E84F09"/>
    <w:rsid w:val="00E85561"/>
    <w:rsid w:val="00E85875"/>
    <w:rsid w:val="00E8792E"/>
    <w:rsid w:val="00E87B82"/>
    <w:rsid w:val="00E90B0E"/>
    <w:rsid w:val="00E915D3"/>
    <w:rsid w:val="00E91F15"/>
    <w:rsid w:val="00E920B0"/>
    <w:rsid w:val="00E92DEB"/>
    <w:rsid w:val="00E92E8A"/>
    <w:rsid w:val="00E93650"/>
    <w:rsid w:val="00E93835"/>
    <w:rsid w:val="00E93D5D"/>
    <w:rsid w:val="00E94DE2"/>
    <w:rsid w:val="00E94E55"/>
    <w:rsid w:val="00E95714"/>
    <w:rsid w:val="00E96662"/>
    <w:rsid w:val="00E97B47"/>
    <w:rsid w:val="00EA04FC"/>
    <w:rsid w:val="00EA22D7"/>
    <w:rsid w:val="00EA2A35"/>
    <w:rsid w:val="00EA2B31"/>
    <w:rsid w:val="00EA529B"/>
    <w:rsid w:val="00EA538C"/>
    <w:rsid w:val="00EA53FC"/>
    <w:rsid w:val="00EA5BFF"/>
    <w:rsid w:val="00EA63F7"/>
    <w:rsid w:val="00EB0B3B"/>
    <w:rsid w:val="00EB0B71"/>
    <w:rsid w:val="00EB21EE"/>
    <w:rsid w:val="00EB3B31"/>
    <w:rsid w:val="00EB4662"/>
    <w:rsid w:val="00EB4769"/>
    <w:rsid w:val="00EB4926"/>
    <w:rsid w:val="00EB4B83"/>
    <w:rsid w:val="00EB5A4F"/>
    <w:rsid w:val="00EB61B3"/>
    <w:rsid w:val="00EB6755"/>
    <w:rsid w:val="00EB694A"/>
    <w:rsid w:val="00EB6C97"/>
    <w:rsid w:val="00EC0A6D"/>
    <w:rsid w:val="00EC1503"/>
    <w:rsid w:val="00EC3BCC"/>
    <w:rsid w:val="00EC3C7F"/>
    <w:rsid w:val="00EC40F8"/>
    <w:rsid w:val="00EC414F"/>
    <w:rsid w:val="00EC4630"/>
    <w:rsid w:val="00EC4D49"/>
    <w:rsid w:val="00EC4E68"/>
    <w:rsid w:val="00EC54CA"/>
    <w:rsid w:val="00EC55A9"/>
    <w:rsid w:val="00EC659A"/>
    <w:rsid w:val="00EC6CE0"/>
    <w:rsid w:val="00EC6DB2"/>
    <w:rsid w:val="00EC758A"/>
    <w:rsid w:val="00EC7AFC"/>
    <w:rsid w:val="00ED0143"/>
    <w:rsid w:val="00ED01E3"/>
    <w:rsid w:val="00ED04C3"/>
    <w:rsid w:val="00ED05E1"/>
    <w:rsid w:val="00ED1C69"/>
    <w:rsid w:val="00ED355A"/>
    <w:rsid w:val="00ED3840"/>
    <w:rsid w:val="00ED3F72"/>
    <w:rsid w:val="00ED60F6"/>
    <w:rsid w:val="00ED65EE"/>
    <w:rsid w:val="00ED6741"/>
    <w:rsid w:val="00ED7785"/>
    <w:rsid w:val="00EE0A50"/>
    <w:rsid w:val="00EE0B44"/>
    <w:rsid w:val="00EE1122"/>
    <w:rsid w:val="00EE136A"/>
    <w:rsid w:val="00EE1F6E"/>
    <w:rsid w:val="00EE2372"/>
    <w:rsid w:val="00EE2959"/>
    <w:rsid w:val="00EE43F4"/>
    <w:rsid w:val="00EE476B"/>
    <w:rsid w:val="00EE4A94"/>
    <w:rsid w:val="00EE4E43"/>
    <w:rsid w:val="00EE5F19"/>
    <w:rsid w:val="00EE6DF4"/>
    <w:rsid w:val="00EF1468"/>
    <w:rsid w:val="00EF2D86"/>
    <w:rsid w:val="00EF30D3"/>
    <w:rsid w:val="00EF41C3"/>
    <w:rsid w:val="00EF42E2"/>
    <w:rsid w:val="00EF4B82"/>
    <w:rsid w:val="00EF506A"/>
    <w:rsid w:val="00EF62DD"/>
    <w:rsid w:val="00EF6FA8"/>
    <w:rsid w:val="00EF70EF"/>
    <w:rsid w:val="00EF7524"/>
    <w:rsid w:val="00EF7CBB"/>
    <w:rsid w:val="00F00BDE"/>
    <w:rsid w:val="00F0314E"/>
    <w:rsid w:val="00F07BDD"/>
    <w:rsid w:val="00F10A79"/>
    <w:rsid w:val="00F11647"/>
    <w:rsid w:val="00F1184A"/>
    <w:rsid w:val="00F11D14"/>
    <w:rsid w:val="00F12265"/>
    <w:rsid w:val="00F13187"/>
    <w:rsid w:val="00F1336F"/>
    <w:rsid w:val="00F137E6"/>
    <w:rsid w:val="00F13870"/>
    <w:rsid w:val="00F14FDF"/>
    <w:rsid w:val="00F16084"/>
    <w:rsid w:val="00F1611D"/>
    <w:rsid w:val="00F16513"/>
    <w:rsid w:val="00F169BC"/>
    <w:rsid w:val="00F17FC2"/>
    <w:rsid w:val="00F202F9"/>
    <w:rsid w:val="00F20BA9"/>
    <w:rsid w:val="00F2124A"/>
    <w:rsid w:val="00F21845"/>
    <w:rsid w:val="00F21A08"/>
    <w:rsid w:val="00F21F71"/>
    <w:rsid w:val="00F23336"/>
    <w:rsid w:val="00F2483A"/>
    <w:rsid w:val="00F24966"/>
    <w:rsid w:val="00F258B3"/>
    <w:rsid w:val="00F26132"/>
    <w:rsid w:val="00F3016E"/>
    <w:rsid w:val="00F3072F"/>
    <w:rsid w:val="00F3163F"/>
    <w:rsid w:val="00F3270E"/>
    <w:rsid w:val="00F32748"/>
    <w:rsid w:val="00F3465C"/>
    <w:rsid w:val="00F34C62"/>
    <w:rsid w:val="00F34FCF"/>
    <w:rsid w:val="00F36746"/>
    <w:rsid w:val="00F367C1"/>
    <w:rsid w:val="00F368CC"/>
    <w:rsid w:val="00F370F1"/>
    <w:rsid w:val="00F40713"/>
    <w:rsid w:val="00F41654"/>
    <w:rsid w:val="00F41FFF"/>
    <w:rsid w:val="00F450AA"/>
    <w:rsid w:val="00F464A9"/>
    <w:rsid w:val="00F5031F"/>
    <w:rsid w:val="00F50F97"/>
    <w:rsid w:val="00F518A8"/>
    <w:rsid w:val="00F5248B"/>
    <w:rsid w:val="00F54D56"/>
    <w:rsid w:val="00F564FD"/>
    <w:rsid w:val="00F575CD"/>
    <w:rsid w:val="00F60BB2"/>
    <w:rsid w:val="00F61419"/>
    <w:rsid w:val="00F61739"/>
    <w:rsid w:val="00F62018"/>
    <w:rsid w:val="00F639DA"/>
    <w:rsid w:val="00F64B3F"/>
    <w:rsid w:val="00F64E35"/>
    <w:rsid w:val="00F64F6E"/>
    <w:rsid w:val="00F65D24"/>
    <w:rsid w:val="00F66C2D"/>
    <w:rsid w:val="00F66E2D"/>
    <w:rsid w:val="00F67B40"/>
    <w:rsid w:val="00F70856"/>
    <w:rsid w:val="00F7165C"/>
    <w:rsid w:val="00F73904"/>
    <w:rsid w:val="00F750E5"/>
    <w:rsid w:val="00F75A81"/>
    <w:rsid w:val="00F766DC"/>
    <w:rsid w:val="00F7788D"/>
    <w:rsid w:val="00F77ED6"/>
    <w:rsid w:val="00F80D07"/>
    <w:rsid w:val="00F81920"/>
    <w:rsid w:val="00F8274A"/>
    <w:rsid w:val="00F827FD"/>
    <w:rsid w:val="00F82C53"/>
    <w:rsid w:val="00F84735"/>
    <w:rsid w:val="00F84B9F"/>
    <w:rsid w:val="00F84F1E"/>
    <w:rsid w:val="00F86172"/>
    <w:rsid w:val="00F903C8"/>
    <w:rsid w:val="00F904FE"/>
    <w:rsid w:val="00F9161A"/>
    <w:rsid w:val="00F92179"/>
    <w:rsid w:val="00F922F2"/>
    <w:rsid w:val="00F92671"/>
    <w:rsid w:val="00F9284E"/>
    <w:rsid w:val="00F94B78"/>
    <w:rsid w:val="00F9580C"/>
    <w:rsid w:val="00F958EC"/>
    <w:rsid w:val="00F96235"/>
    <w:rsid w:val="00F96D24"/>
    <w:rsid w:val="00F97464"/>
    <w:rsid w:val="00F975FE"/>
    <w:rsid w:val="00F979CD"/>
    <w:rsid w:val="00FA0AB6"/>
    <w:rsid w:val="00FA27AD"/>
    <w:rsid w:val="00FA2962"/>
    <w:rsid w:val="00FA29B6"/>
    <w:rsid w:val="00FA417F"/>
    <w:rsid w:val="00FA446B"/>
    <w:rsid w:val="00FA4E24"/>
    <w:rsid w:val="00FA5765"/>
    <w:rsid w:val="00FA5833"/>
    <w:rsid w:val="00FA5C46"/>
    <w:rsid w:val="00FA6130"/>
    <w:rsid w:val="00FA64F4"/>
    <w:rsid w:val="00FA6E93"/>
    <w:rsid w:val="00FA743B"/>
    <w:rsid w:val="00FA74A8"/>
    <w:rsid w:val="00FA7791"/>
    <w:rsid w:val="00FA7E05"/>
    <w:rsid w:val="00FB177B"/>
    <w:rsid w:val="00FB2469"/>
    <w:rsid w:val="00FB2DB1"/>
    <w:rsid w:val="00FB4A55"/>
    <w:rsid w:val="00FB5254"/>
    <w:rsid w:val="00FB55B5"/>
    <w:rsid w:val="00FB6159"/>
    <w:rsid w:val="00FB6716"/>
    <w:rsid w:val="00FB6775"/>
    <w:rsid w:val="00FB6C63"/>
    <w:rsid w:val="00FB6E09"/>
    <w:rsid w:val="00FB77AF"/>
    <w:rsid w:val="00FB7908"/>
    <w:rsid w:val="00FB7A77"/>
    <w:rsid w:val="00FC0A1B"/>
    <w:rsid w:val="00FC0A45"/>
    <w:rsid w:val="00FC233B"/>
    <w:rsid w:val="00FC4797"/>
    <w:rsid w:val="00FC5BC7"/>
    <w:rsid w:val="00FC6E81"/>
    <w:rsid w:val="00FC7341"/>
    <w:rsid w:val="00FC76CE"/>
    <w:rsid w:val="00FC7B34"/>
    <w:rsid w:val="00FD00ED"/>
    <w:rsid w:val="00FD028D"/>
    <w:rsid w:val="00FD0407"/>
    <w:rsid w:val="00FD10B7"/>
    <w:rsid w:val="00FD11F5"/>
    <w:rsid w:val="00FD2784"/>
    <w:rsid w:val="00FD282E"/>
    <w:rsid w:val="00FD2F34"/>
    <w:rsid w:val="00FD3142"/>
    <w:rsid w:val="00FD3C95"/>
    <w:rsid w:val="00FD3FD6"/>
    <w:rsid w:val="00FD4C35"/>
    <w:rsid w:val="00FD5A9B"/>
    <w:rsid w:val="00FD5D9F"/>
    <w:rsid w:val="00FD5F27"/>
    <w:rsid w:val="00FD654D"/>
    <w:rsid w:val="00FD71B6"/>
    <w:rsid w:val="00FD743B"/>
    <w:rsid w:val="00FE08BB"/>
    <w:rsid w:val="00FE1E9E"/>
    <w:rsid w:val="00FE23E3"/>
    <w:rsid w:val="00FE292D"/>
    <w:rsid w:val="00FE3B2A"/>
    <w:rsid w:val="00FE495B"/>
    <w:rsid w:val="00FE5E25"/>
    <w:rsid w:val="00FE66E3"/>
    <w:rsid w:val="00FF0E8C"/>
    <w:rsid w:val="00FF2DD3"/>
    <w:rsid w:val="00FF3E54"/>
    <w:rsid w:val="00FF485B"/>
    <w:rsid w:val="00FF558C"/>
    <w:rsid w:val="00FF65B8"/>
    <w:rsid w:val="00FF6BED"/>
    <w:rsid w:val="00FF7887"/>
    <w:rsid w:val="00FF7BC3"/>
    <w:rsid w:val="040464BF"/>
    <w:rsid w:val="09A46173"/>
    <w:rsid w:val="0DD31E11"/>
    <w:rsid w:val="0E2012D5"/>
    <w:rsid w:val="105D03C0"/>
    <w:rsid w:val="13D905A8"/>
    <w:rsid w:val="149B47CD"/>
    <w:rsid w:val="14FD322A"/>
    <w:rsid w:val="16145236"/>
    <w:rsid w:val="16FF02BE"/>
    <w:rsid w:val="17DA52F6"/>
    <w:rsid w:val="195933FE"/>
    <w:rsid w:val="1A7B36C0"/>
    <w:rsid w:val="1AF75928"/>
    <w:rsid w:val="1C821BFA"/>
    <w:rsid w:val="1D214844"/>
    <w:rsid w:val="1DBF5BD9"/>
    <w:rsid w:val="1F4B544F"/>
    <w:rsid w:val="1F70049C"/>
    <w:rsid w:val="230010F2"/>
    <w:rsid w:val="23CA2DAF"/>
    <w:rsid w:val="24C566B2"/>
    <w:rsid w:val="263C1627"/>
    <w:rsid w:val="2E642AA2"/>
    <w:rsid w:val="2EC104FE"/>
    <w:rsid w:val="334F19FB"/>
    <w:rsid w:val="35107C41"/>
    <w:rsid w:val="36B62B35"/>
    <w:rsid w:val="3BBC4B3A"/>
    <w:rsid w:val="3C7B5EAC"/>
    <w:rsid w:val="3D594A33"/>
    <w:rsid w:val="3EAD3703"/>
    <w:rsid w:val="427C658F"/>
    <w:rsid w:val="42E7175A"/>
    <w:rsid w:val="43CA2887"/>
    <w:rsid w:val="43E0001B"/>
    <w:rsid w:val="43F07ACF"/>
    <w:rsid w:val="4BD63B43"/>
    <w:rsid w:val="4C0B0AE1"/>
    <w:rsid w:val="4CFD0D59"/>
    <w:rsid w:val="4D11020E"/>
    <w:rsid w:val="511B3746"/>
    <w:rsid w:val="543D36A4"/>
    <w:rsid w:val="54BF3607"/>
    <w:rsid w:val="54D6531F"/>
    <w:rsid w:val="560C55D1"/>
    <w:rsid w:val="562E14F6"/>
    <w:rsid w:val="585763C0"/>
    <w:rsid w:val="58E736CE"/>
    <w:rsid w:val="5A4B75F4"/>
    <w:rsid w:val="5BAA6A95"/>
    <w:rsid w:val="603920A0"/>
    <w:rsid w:val="64175CC0"/>
    <w:rsid w:val="64ED248E"/>
    <w:rsid w:val="65FB1378"/>
    <w:rsid w:val="66534507"/>
    <w:rsid w:val="68094AB0"/>
    <w:rsid w:val="68694AD9"/>
    <w:rsid w:val="6D3B447F"/>
    <w:rsid w:val="6EDD0CE9"/>
    <w:rsid w:val="6F0B1170"/>
    <w:rsid w:val="71A13C4A"/>
    <w:rsid w:val="7354612E"/>
    <w:rsid w:val="78AA152D"/>
    <w:rsid w:val="79A84894"/>
    <w:rsid w:val="7A7541CA"/>
    <w:rsid w:val="7B106F23"/>
    <w:rsid w:val="7CEE7D02"/>
    <w:rsid w:val="7FCF04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 stroke="f">
      <v:fill color="white" opacity=".5"/>
      <v:stroke on="f"/>
    </o:shapedefaults>
    <o:shapelayout v:ext="edit">
      <o:idmap v:ext="edit" data="1"/>
    </o:shapelayout>
  </w:shapeDefaults>
  <w:decimalSymbol w:val="."/>
  <w:listSeparator w:val=","/>
  <w14:docId w14:val="65F721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qFormat="1"/>
    <w:lsdException w:name="footnote text" w:unhideWhenUsed="0" w:qFormat="1"/>
    <w:lsdException w:name="annotation text" w:qFormat="1"/>
    <w:lsdException w:name="header" w:qFormat="1"/>
    <w:lsdException w:name="footer" w:qFormat="1"/>
    <w:lsdException w:name="index heading" w:semiHidden="1"/>
    <w:lsdException w:name="caption" w:uiPriority="35" w:qFormat="1"/>
    <w:lsdException w:name="table of figures" w:qFormat="1"/>
    <w:lsdException w:name="envelope address" w:semiHidden="1"/>
    <w:lsdException w:name="envelope return" w:semiHidden="1"/>
    <w:lsdException w:name="footnote reference" w:unhideWhenUsed="0" w:qFormat="1"/>
    <w:lsdException w:name="annotation reference" w:qFormat="1"/>
    <w:lsdException w:name="line number" w:semiHidden="1"/>
    <w:lsdException w:name="page number" w:semiHidden="1"/>
    <w:lsdException w:name="endnote reference" w:qFormat="1"/>
    <w:lsdException w:name="endnote text" w:qFormat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unhideWhenUsed="0" w:qFormat="1"/>
    <w:lsdException w:name="Closing" w:semiHidden="1"/>
    <w:lsdException w:name="Signature" w:semiHidden="1"/>
    <w:lsdException w:name="Default Paragraph Font" w:semiHidden="1" w:uiPriority="1"/>
    <w:lsdException w:name="Body Text" w:uiPriority="0" w:unhideWhenUsed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qFormat="1"/>
    <w:lsdException w:name="Strong" w:uiPriority="22" w:unhideWhenUsed="0" w:qFormat="1"/>
    <w:lsdException w:name="Emphasis" w:uiPriority="20" w:unhideWhenUsed="0" w:qFormat="1"/>
    <w:lsdException w:name="Document Map" w:semiHidden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qFormat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qFormat="1"/>
    <w:lsdException w:name="HTML Sample" w:semiHidden="1"/>
    <w:lsdException w:name="HTML Typewriter" w:semiHidden="1"/>
    <w:lsdException w:name="HTML Variable" w:semiHidden="1"/>
    <w:lsdException w:name="Normal Table" w:semiHidden="1"/>
    <w:lsdException w:name="annotation subject" w:qFormat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qFormat="1"/>
    <w:lsdException w:name="Table Grid" w:uiPriority="59" w:unhideWhenUsed="0" w:qFormat="1"/>
    <w:lsdException w:name="Table Theme" w:semiHidden="1"/>
    <w:lsdException w:name="Placeholder Text" w:semiHidden="1"/>
    <w:lsdException w:name="No Spacing" w:semiHidden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/>
    <w:lsdException w:name="List Paragraph" w:unhideWhenUsed="0" w:qFormat="1"/>
    <w:lsdException w:name="Quote" w:semiHidden="1"/>
    <w:lsdException w:name="Intense Quote" w:semiHidden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pPr>
      <w:spacing w:after="160" w:line="360" w:lineRule="auto"/>
      <w:ind w:firstLineChars="200" w:firstLine="200"/>
      <w:jc w:val="both"/>
    </w:pPr>
    <w:rPr>
      <w:rFonts w:ascii="Calibri" w:eastAsiaTheme="minorEastAsia" w:hAnsi="Calibri" w:cstheme="majorBidi"/>
      <w:kern w:val="2"/>
      <w:sz w:val="24"/>
      <w:szCs w:val="22"/>
      <w:lang w:eastAsia="en-US" w:bidi="en-US"/>
    </w:rPr>
  </w:style>
  <w:style w:type="paragraph" w:styleId="1">
    <w:name w:val="heading 1"/>
    <w:basedOn w:val="a"/>
    <w:next w:val="a"/>
    <w:link w:val="1Char"/>
    <w:uiPriority w:val="9"/>
    <w:qFormat/>
    <w:pPr>
      <w:framePr w:wrap="around" w:vAnchor="text" w:hAnchor="text" w:y="1"/>
      <w:pBdr>
        <w:bottom w:val="single" w:sz="24" w:space="1" w:color="2B4958" w:themeColor="accent4" w:themeShade="80"/>
      </w:pBdr>
      <w:spacing w:before="400"/>
      <w:jc w:val="center"/>
      <w:outlineLvl w:val="0"/>
    </w:pPr>
    <w:rPr>
      <w:rFonts w:ascii="Times New Roman" w:hAnsi="Times New Roman"/>
      <w:b/>
      <w:color w:val="325465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pPr>
      <w:pBdr>
        <w:bottom w:val="single" w:sz="4" w:space="1" w:color="325364" w:themeColor="accent2" w:themeShade="7F"/>
      </w:pBdr>
      <w:spacing w:before="240" w:after="60"/>
      <w:ind w:firstLineChars="0" w:firstLine="0"/>
      <w:jc w:val="center"/>
      <w:outlineLvl w:val="1"/>
    </w:pPr>
    <w:rPr>
      <w:rFonts w:eastAsia="华文隶书"/>
      <w:b/>
      <w:caps/>
      <w:color w:val="000000"/>
      <w:sz w:val="30"/>
      <w:szCs w:val="24"/>
    </w:rPr>
  </w:style>
  <w:style w:type="paragraph" w:styleId="3">
    <w:name w:val="heading 3"/>
    <w:basedOn w:val="a"/>
    <w:next w:val="a"/>
    <w:link w:val="3Char"/>
    <w:uiPriority w:val="9"/>
    <w:unhideWhenUsed/>
    <w:qFormat/>
    <w:pPr>
      <w:pBdr>
        <w:top w:val="dotted" w:sz="4" w:space="1" w:color="325364" w:themeColor="accent2" w:themeShade="7F"/>
        <w:bottom w:val="dotted" w:sz="4" w:space="1" w:color="325364" w:themeColor="accent2" w:themeShade="7F"/>
      </w:pBdr>
      <w:spacing w:before="300"/>
      <w:jc w:val="center"/>
      <w:outlineLvl w:val="2"/>
    </w:pPr>
    <w:rPr>
      <w:caps/>
      <w:color w:val="325465" w:themeColor="accent2" w:themeShade="80"/>
      <w:szCs w:val="24"/>
    </w:rPr>
  </w:style>
  <w:style w:type="paragraph" w:styleId="4">
    <w:name w:val="heading 4"/>
    <w:basedOn w:val="a"/>
    <w:next w:val="a"/>
    <w:link w:val="4Char"/>
    <w:uiPriority w:val="9"/>
    <w:unhideWhenUsed/>
    <w:qFormat/>
    <w:pPr>
      <w:pBdr>
        <w:bottom w:val="dotted" w:sz="4" w:space="1" w:color="4B7D96" w:themeColor="accent2" w:themeShade="BF"/>
      </w:pBdr>
      <w:spacing w:after="120"/>
      <w:jc w:val="center"/>
      <w:outlineLvl w:val="3"/>
    </w:pPr>
    <w:rPr>
      <w:caps/>
      <w:color w:val="08364E" w:themeColor="accent1" w:themeShade="80"/>
      <w:spacing w:val="10"/>
    </w:rPr>
  </w:style>
  <w:style w:type="paragraph" w:styleId="5">
    <w:name w:val="heading 5"/>
    <w:basedOn w:val="a"/>
    <w:next w:val="a"/>
    <w:link w:val="5Char"/>
    <w:uiPriority w:val="9"/>
    <w:unhideWhenUsed/>
    <w:qFormat/>
    <w:pPr>
      <w:spacing w:before="320" w:after="120"/>
      <w:jc w:val="center"/>
      <w:outlineLvl w:val="4"/>
    </w:pPr>
    <w:rPr>
      <w:caps/>
      <w:color w:val="325465" w:themeColor="accent2" w:themeShade="80"/>
      <w:spacing w:val="10"/>
    </w:rPr>
  </w:style>
  <w:style w:type="paragraph" w:styleId="6">
    <w:name w:val="heading 6"/>
    <w:basedOn w:val="a"/>
    <w:next w:val="a"/>
    <w:link w:val="6Char"/>
    <w:uiPriority w:val="9"/>
    <w:unhideWhenUsed/>
    <w:qFormat/>
    <w:pPr>
      <w:spacing w:after="120"/>
      <w:jc w:val="center"/>
      <w:outlineLvl w:val="5"/>
    </w:pPr>
    <w:rPr>
      <w:caps/>
      <w:color w:val="4B7D96" w:themeColor="accent2" w:themeShade="BF"/>
      <w:spacing w:val="10"/>
    </w:rPr>
  </w:style>
  <w:style w:type="paragraph" w:styleId="7">
    <w:name w:val="heading 7"/>
    <w:basedOn w:val="a"/>
    <w:next w:val="a"/>
    <w:link w:val="7Char"/>
    <w:uiPriority w:val="9"/>
    <w:unhideWhenUsed/>
    <w:qFormat/>
    <w:pPr>
      <w:spacing w:after="120"/>
      <w:jc w:val="center"/>
      <w:outlineLvl w:val="6"/>
    </w:pPr>
    <w:rPr>
      <w:i/>
      <w:iCs/>
      <w:caps/>
      <w:color w:val="4B7D96" w:themeColor="accent2" w:themeShade="BF"/>
      <w:spacing w:val="10"/>
    </w:rPr>
  </w:style>
  <w:style w:type="paragraph" w:styleId="8">
    <w:name w:val="heading 8"/>
    <w:basedOn w:val="a"/>
    <w:next w:val="a"/>
    <w:link w:val="8Char"/>
    <w:uiPriority w:val="9"/>
    <w:unhideWhenUsed/>
    <w:qFormat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Char"/>
    <w:uiPriority w:val="9"/>
    <w:unhideWhenUsed/>
    <w:qFormat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iPriority w:val="99"/>
    <w:unhideWhenUsed/>
    <w:qFormat/>
    <w:pPr>
      <w:ind w:firstLine="420"/>
    </w:pPr>
  </w:style>
  <w:style w:type="paragraph" w:styleId="a4">
    <w:name w:val="caption"/>
    <w:basedOn w:val="a"/>
    <w:next w:val="a"/>
    <w:uiPriority w:val="35"/>
    <w:unhideWhenUsed/>
    <w:qFormat/>
    <w:rPr>
      <w:caps/>
      <w:spacing w:val="10"/>
      <w:sz w:val="18"/>
      <w:szCs w:val="18"/>
    </w:rPr>
  </w:style>
  <w:style w:type="paragraph" w:styleId="a5">
    <w:name w:val="annotation text"/>
    <w:basedOn w:val="a"/>
    <w:link w:val="Char"/>
    <w:uiPriority w:val="99"/>
    <w:unhideWhenUsed/>
    <w:qFormat/>
  </w:style>
  <w:style w:type="paragraph" w:styleId="a6">
    <w:name w:val="Body Text"/>
    <w:basedOn w:val="a"/>
    <w:link w:val="Char0"/>
    <w:qFormat/>
    <w:pPr>
      <w:spacing w:after="180"/>
    </w:pPr>
    <w:rPr>
      <w:rFonts w:ascii="Garamond" w:eastAsia="宋体" w:hAnsi="Garamond"/>
      <w:szCs w:val="20"/>
      <w:lang w:bidi="ar-SA"/>
    </w:rPr>
  </w:style>
  <w:style w:type="paragraph" w:styleId="30">
    <w:name w:val="toc 3"/>
    <w:basedOn w:val="a"/>
    <w:next w:val="a"/>
    <w:uiPriority w:val="39"/>
    <w:unhideWhenUsed/>
    <w:qFormat/>
    <w:pPr>
      <w:spacing w:after="100" w:line="276" w:lineRule="auto"/>
      <w:ind w:left="440"/>
    </w:pPr>
    <w:rPr>
      <w:rFonts w:cstheme="minorBidi"/>
      <w:lang w:eastAsia="zh-CN" w:bidi="ar-SA"/>
    </w:rPr>
  </w:style>
  <w:style w:type="paragraph" w:styleId="a7">
    <w:name w:val="Date"/>
    <w:basedOn w:val="a"/>
    <w:next w:val="a"/>
    <w:link w:val="Char1"/>
    <w:uiPriority w:val="99"/>
    <w:unhideWhenUsed/>
    <w:qFormat/>
    <w:pPr>
      <w:ind w:leftChars="2500" w:left="100"/>
    </w:pPr>
  </w:style>
  <w:style w:type="paragraph" w:styleId="a8">
    <w:name w:val="endnote text"/>
    <w:basedOn w:val="a"/>
    <w:link w:val="Char2"/>
    <w:uiPriority w:val="99"/>
    <w:unhideWhenUsed/>
    <w:qFormat/>
    <w:pPr>
      <w:snapToGrid w:val="0"/>
      <w:jc w:val="left"/>
    </w:pPr>
  </w:style>
  <w:style w:type="paragraph" w:styleId="a9">
    <w:name w:val="Balloon Text"/>
    <w:basedOn w:val="a"/>
    <w:link w:val="Char3"/>
    <w:uiPriority w:val="99"/>
    <w:unhideWhenUsed/>
    <w:qFormat/>
    <w:rPr>
      <w:sz w:val="18"/>
      <w:szCs w:val="18"/>
    </w:rPr>
  </w:style>
  <w:style w:type="paragraph" w:styleId="aa">
    <w:name w:val="footer"/>
    <w:basedOn w:val="a"/>
    <w:link w:val="Char4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b">
    <w:name w:val="header"/>
    <w:basedOn w:val="a"/>
    <w:link w:val="Char5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="360"/>
      <w:jc w:val="center"/>
    </w:pPr>
    <w:rPr>
      <w:sz w:val="18"/>
      <w:szCs w:val="24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296"/>
      </w:tabs>
      <w:spacing w:before="163" w:after="100" w:line="276" w:lineRule="auto"/>
      <w:ind w:firstLine="480"/>
    </w:pPr>
    <w:rPr>
      <w:rFonts w:ascii="华文隶书" w:eastAsia="华文隶书" w:hAnsi="Times New Roman" w:cs="Times New Roman"/>
      <w:b/>
      <w:spacing w:val="20"/>
      <w:lang w:eastAsia="zh-CN"/>
    </w:rPr>
  </w:style>
  <w:style w:type="paragraph" w:styleId="ac">
    <w:name w:val="Subtitle"/>
    <w:basedOn w:val="a"/>
    <w:next w:val="a"/>
    <w:link w:val="Char6"/>
    <w:uiPriority w:val="11"/>
    <w:qFormat/>
    <w:pPr>
      <w:spacing w:beforeLines="50" w:before="50"/>
    </w:pPr>
    <w:rPr>
      <w:rFonts w:eastAsia="楷体"/>
      <w:caps/>
      <w:spacing w:val="20"/>
      <w:szCs w:val="18"/>
      <w:lang w:eastAsia="zh-CN"/>
    </w:rPr>
  </w:style>
  <w:style w:type="paragraph" w:styleId="ad">
    <w:name w:val="footnote text"/>
    <w:basedOn w:val="a"/>
    <w:link w:val="Char7"/>
    <w:uiPriority w:val="99"/>
    <w:qFormat/>
    <w:pPr>
      <w:widowControl w:val="0"/>
      <w:snapToGrid w:val="0"/>
    </w:pPr>
    <w:rPr>
      <w:rFonts w:ascii="Times New Roman" w:eastAsia="宋体" w:hAnsi="Times New Roman"/>
      <w:sz w:val="18"/>
      <w:szCs w:val="18"/>
      <w:lang w:eastAsia="zh-CN" w:bidi="ar-SA"/>
    </w:rPr>
  </w:style>
  <w:style w:type="paragraph" w:styleId="ae">
    <w:name w:val="table of figures"/>
    <w:basedOn w:val="a"/>
    <w:next w:val="a"/>
    <w:uiPriority w:val="99"/>
    <w:unhideWhenUsed/>
    <w:qFormat/>
    <w:pPr>
      <w:ind w:leftChars="200" w:left="200" w:hangingChars="200" w:hanging="200"/>
    </w:pPr>
  </w:style>
  <w:style w:type="paragraph" w:styleId="20">
    <w:name w:val="toc 2"/>
    <w:basedOn w:val="a"/>
    <w:next w:val="a"/>
    <w:uiPriority w:val="39"/>
    <w:unhideWhenUsed/>
    <w:qFormat/>
    <w:pPr>
      <w:spacing w:after="100" w:line="276" w:lineRule="auto"/>
      <w:ind w:left="220"/>
    </w:pPr>
    <w:rPr>
      <w:rFonts w:cstheme="minorBidi"/>
      <w:lang w:eastAsia="zh-CN" w:bidi="ar-SA"/>
    </w:rPr>
  </w:style>
  <w:style w:type="paragraph" w:styleId="HTML">
    <w:name w:val="HTML Preformatted"/>
    <w:basedOn w:val="a"/>
    <w:link w:val="HTMLChar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Chars="0" w:firstLine="0"/>
      <w:jc w:val="left"/>
    </w:pPr>
    <w:rPr>
      <w:rFonts w:ascii="宋体" w:eastAsia="宋体" w:hAnsi="宋体" w:cs="宋体"/>
      <w:kern w:val="0"/>
      <w:szCs w:val="24"/>
      <w:lang w:eastAsia="zh-CN" w:bidi="ar-SA"/>
    </w:rPr>
  </w:style>
  <w:style w:type="paragraph" w:styleId="af">
    <w:name w:val="Normal (Web)"/>
    <w:basedOn w:val="a"/>
    <w:uiPriority w:val="99"/>
    <w:unhideWhenUsed/>
    <w:qFormat/>
    <w:pPr>
      <w:spacing w:before="100" w:beforeAutospacing="1" w:after="100" w:afterAutospacing="1" w:line="240" w:lineRule="auto"/>
      <w:ind w:firstLineChars="0" w:firstLine="0"/>
    </w:pPr>
    <w:rPr>
      <w:rFonts w:ascii="宋体" w:eastAsia="宋体" w:hAnsi="宋体" w:cs="宋体"/>
      <w:szCs w:val="24"/>
      <w:lang w:eastAsia="zh-CN" w:bidi="ar-SA"/>
    </w:rPr>
  </w:style>
  <w:style w:type="paragraph" w:styleId="af0">
    <w:name w:val="Title"/>
    <w:basedOn w:val="a"/>
    <w:next w:val="a"/>
    <w:link w:val="Char8"/>
    <w:uiPriority w:val="10"/>
    <w:qFormat/>
    <w:pPr>
      <w:pBdr>
        <w:top w:val="dotted" w:sz="2" w:space="1" w:color="325465" w:themeColor="accent2" w:themeShade="80"/>
        <w:bottom w:val="dotted" w:sz="2" w:space="6" w:color="325465" w:themeColor="accent2" w:themeShade="80"/>
      </w:pBdr>
      <w:spacing w:before="500" w:after="300"/>
      <w:jc w:val="center"/>
    </w:pPr>
    <w:rPr>
      <w:caps/>
      <w:color w:val="325465" w:themeColor="accent2" w:themeShade="80"/>
      <w:spacing w:val="50"/>
      <w:sz w:val="44"/>
      <w:szCs w:val="44"/>
    </w:rPr>
  </w:style>
  <w:style w:type="paragraph" w:styleId="af1">
    <w:name w:val="annotation subject"/>
    <w:basedOn w:val="a5"/>
    <w:next w:val="a5"/>
    <w:link w:val="Char9"/>
    <w:uiPriority w:val="99"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Strong"/>
    <w:uiPriority w:val="22"/>
    <w:qFormat/>
    <w:rPr>
      <w:rFonts w:eastAsia="楷体"/>
      <w:bCs/>
      <w:color w:val="auto"/>
      <w:spacing w:val="5"/>
      <w:sz w:val="21"/>
    </w:rPr>
  </w:style>
  <w:style w:type="character" w:styleId="af4">
    <w:name w:val="endnote reference"/>
    <w:basedOn w:val="a0"/>
    <w:uiPriority w:val="99"/>
    <w:unhideWhenUsed/>
    <w:qFormat/>
    <w:rPr>
      <w:vertAlign w:val="superscript"/>
    </w:rPr>
  </w:style>
  <w:style w:type="character" w:styleId="af5">
    <w:name w:val="FollowedHyperlink"/>
    <w:basedOn w:val="a0"/>
    <w:uiPriority w:val="99"/>
    <w:unhideWhenUsed/>
    <w:qFormat/>
    <w:rPr>
      <w:color w:val="954F72" w:themeColor="followedHyperlink"/>
      <w:u w:val="single"/>
    </w:rPr>
  </w:style>
  <w:style w:type="character" w:styleId="af6">
    <w:name w:val="Emphasis"/>
    <w:uiPriority w:val="20"/>
    <w:qFormat/>
    <w:rPr>
      <w:caps/>
      <w:spacing w:val="5"/>
      <w:sz w:val="20"/>
      <w:szCs w:val="20"/>
    </w:rPr>
  </w:style>
  <w:style w:type="character" w:styleId="af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8">
    <w:name w:val="annotation reference"/>
    <w:basedOn w:val="a0"/>
    <w:uiPriority w:val="99"/>
    <w:unhideWhenUsed/>
    <w:qFormat/>
    <w:rPr>
      <w:sz w:val="21"/>
      <w:szCs w:val="21"/>
    </w:rPr>
  </w:style>
  <w:style w:type="character" w:styleId="af9">
    <w:name w:val="footnote reference"/>
    <w:basedOn w:val="a0"/>
    <w:uiPriority w:val="99"/>
    <w:qFormat/>
    <w:rPr>
      <w:vertAlign w:val="superscript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Theme="minorEastAsia" w:hAnsi="Times New Roman"/>
      <w:b/>
      <w:color w:val="325465" w:themeColor="accent2" w:themeShade="80"/>
      <w:spacing w:val="20"/>
      <w:sz w:val="28"/>
      <w:szCs w:val="28"/>
    </w:rPr>
  </w:style>
  <w:style w:type="character" w:customStyle="1" w:styleId="Char8">
    <w:name w:val="标题 Char"/>
    <w:basedOn w:val="a0"/>
    <w:link w:val="af0"/>
    <w:uiPriority w:val="10"/>
    <w:qFormat/>
    <w:rPr>
      <w:rFonts w:eastAsiaTheme="majorEastAsia" w:cstheme="majorBidi"/>
      <w:caps/>
      <w:color w:val="325465" w:themeColor="accent2" w:themeShade="80"/>
      <w:spacing w:val="50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libri" w:eastAsia="华文隶书" w:hAnsi="Calibri"/>
      <w:b/>
      <w:caps/>
      <w:color w:val="000000"/>
      <w:sz w:val="30"/>
      <w:szCs w:val="24"/>
    </w:rPr>
  </w:style>
  <w:style w:type="character" w:customStyle="1" w:styleId="3Char">
    <w:name w:val="标题 3 Char"/>
    <w:basedOn w:val="a0"/>
    <w:link w:val="3"/>
    <w:uiPriority w:val="9"/>
    <w:qFormat/>
    <w:rPr>
      <w:rFonts w:eastAsiaTheme="majorEastAsia" w:cstheme="majorBidi"/>
      <w:caps/>
      <w:color w:val="325465" w:themeColor="accent2" w:themeShade="80"/>
      <w:sz w:val="24"/>
      <w:szCs w:val="24"/>
    </w:rPr>
  </w:style>
  <w:style w:type="character" w:customStyle="1" w:styleId="4Char">
    <w:name w:val="标题 4 Char"/>
    <w:basedOn w:val="a0"/>
    <w:link w:val="4"/>
    <w:uiPriority w:val="9"/>
    <w:qFormat/>
    <w:rPr>
      <w:rFonts w:eastAsiaTheme="minorEastAsia"/>
      <w:caps/>
      <w:color w:val="08364E" w:themeColor="accent1" w:themeShade="80"/>
      <w:spacing w:val="10"/>
      <w:sz w:val="24"/>
    </w:rPr>
  </w:style>
  <w:style w:type="character" w:customStyle="1" w:styleId="5Char">
    <w:name w:val="标题 5 Char"/>
    <w:basedOn w:val="a0"/>
    <w:link w:val="5"/>
    <w:uiPriority w:val="9"/>
    <w:semiHidden/>
    <w:qFormat/>
    <w:rPr>
      <w:rFonts w:eastAsiaTheme="majorEastAsia" w:cstheme="majorBidi"/>
      <w:caps/>
      <w:color w:val="325465" w:themeColor="accent2" w:themeShade="80"/>
      <w:spacing w:val="10"/>
    </w:rPr>
  </w:style>
  <w:style w:type="character" w:customStyle="1" w:styleId="6Char">
    <w:name w:val="标题 6 Char"/>
    <w:basedOn w:val="a0"/>
    <w:link w:val="6"/>
    <w:uiPriority w:val="9"/>
    <w:semiHidden/>
    <w:qFormat/>
    <w:rPr>
      <w:rFonts w:eastAsiaTheme="majorEastAsia" w:cstheme="majorBidi"/>
      <w:caps/>
      <w:color w:val="4B7D96" w:themeColor="accent2" w:themeShade="BF"/>
      <w:spacing w:val="10"/>
    </w:rPr>
  </w:style>
  <w:style w:type="character" w:customStyle="1" w:styleId="7Char">
    <w:name w:val="标题 7 Char"/>
    <w:basedOn w:val="a0"/>
    <w:link w:val="7"/>
    <w:uiPriority w:val="9"/>
    <w:semiHidden/>
    <w:qFormat/>
    <w:rPr>
      <w:rFonts w:eastAsiaTheme="majorEastAsia" w:cstheme="majorBidi"/>
      <w:i/>
      <w:iCs/>
      <w:caps/>
      <w:color w:val="4B7D96" w:themeColor="accent2" w:themeShade="BF"/>
      <w:spacing w:val="10"/>
    </w:rPr>
  </w:style>
  <w:style w:type="character" w:customStyle="1" w:styleId="8Char">
    <w:name w:val="标题 8 Char"/>
    <w:basedOn w:val="a0"/>
    <w:link w:val="8"/>
    <w:uiPriority w:val="9"/>
    <w:semiHidden/>
    <w:qFormat/>
    <w:rPr>
      <w:rFonts w:eastAsiaTheme="majorEastAsia" w:cstheme="majorBidi"/>
      <w:caps/>
      <w:spacing w:val="10"/>
      <w:sz w:val="20"/>
      <w:szCs w:val="20"/>
    </w:rPr>
  </w:style>
  <w:style w:type="character" w:customStyle="1" w:styleId="9Char">
    <w:name w:val="标题 9 Char"/>
    <w:basedOn w:val="a0"/>
    <w:link w:val="9"/>
    <w:uiPriority w:val="9"/>
    <w:semiHidden/>
    <w:qFormat/>
    <w:rPr>
      <w:rFonts w:eastAsiaTheme="majorEastAsia" w:cstheme="majorBidi"/>
      <w:i/>
      <w:iCs/>
      <w:caps/>
      <w:spacing w:val="10"/>
      <w:sz w:val="20"/>
      <w:szCs w:val="20"/>
    </w:rPr>
  </w:style>
  <w:style w:type="character" w:customStyle="1" w:styleId="Char6">
    <w:name w:val="副标题 Char"/>
    <w:basedOn w:val="a0"/>
    <w:link w:val="ac"/>
    <w:uiPriority w:val="11"/>
    <w:qFormat/>
    <w:rPr>
      <w:rFonts w:ascii="Calibri" w:eastAsia="楷体" w:hAnsi="Calibri"/>
      <w:caps/>
      <w:spacing w:val="20"/>
      <w:sz w:val="24"/>
      <w:szCs w:val="18"/>
      <w:lang w:eastAsia="zh-CN"/>
    </w:rPr>
  </w:style>
  <w:style w:type="paragraph" w:customStyle="1" w:styleId="11">
    <w:name w:val="无间隔1"/>
    <w:basedOn w:val="a"/>
    <w:link w:val="afa"/>
    <w:uiPriority w:val="1"/>
    <w:qFormat/>
  </w:style>
  <w:style w:type="paragraph" w:customStyle="1" w:styleId="12">
    <w:name w:val="列表段落1"/>
    <w:basedOn w:val="a"/>
    <w:uiPriority w:val="34"/>
    <w:qFormat/>
    <w:pPr>
      <w:ind w:left="720"/>
      <w:contextualSpacing/>
    </w:pPr>
  </w:style>
  <w:style w:type="paragraph" w:customStyle="1" w:styleId="13">
    <w:name w:val="引用1"/>
    <w:basedOn w:val="a"/>
    <w:next w:val="a"/>
    <w:link w:val="afb"/>
    <w:uiPriority w:val="29"/>
    <w:qFormat/>
    <w:rPr>
      <w:i/>
      <w:iCs/>
    </w:rPr>
  </w:style>
  <w:style w:type="character" w:customStyle="1" w:styleId="afb">
    <w:name w:val="引用 字符"/>
    <w:basedOn w:val="a0"/>
    <w:link w:val="13"/>
    <w:uiPriority w:val="29"/>
    <w:qFormat/>
    <w:rPr>
      <w:rFonts w:eastAsiaTheme="majorEastAsia" w:cstheme="majorBidi"/>
      <w:i/>
      <w:iCs/>
    </w:rPr>
  </w:style>
  <w:style w:type="paragraph" w:customStyle="1" w:styleId="14">
    <w:name w:val="明显引用1"/>
    <w:basedOn w:val="a"/>
    <w:next w:val="a"/>
    <w:link w:val="afc"/>
    <w:uiPriority w:val="30"/>
    <w:qFormat/>
    <w:pPr>
      <w:pBdr>
        <w:top w:val="double" w:sz="4" w:space="10" w:color="auto"/>
        <w:bottom w:val="double" w:sz="4" w:space="4" w:color="auto"/>
      </w:pBdr>
      <w:spacing w:before="50"/>
      <w:ind w:firstLineChars="0" w:firstLine="0"/>
    </w:pPr>
    <w:rPr>
      <w:color w:val="7B2D2B" w:themeColor="accent3" w:themeShade="80"/>
      <w:spacing w:val="5"/>
      <w:sz w:val="20"/>
      <w:szCs w:val="20"/>
    </w:rPr>
  </w:style>
  <w:style w:type="character" w:customStyle="1" w:styleId="afc">
    <w:name w:val="明显引用 字符"/>
    <w:basedOn w:val="a0"/>
    <w:link w:val="14"/>
    <w:uiPriority w:val="30"/>
    <w:qFormat/>
    <w:rPr>
      <w:rFonts w:eastAsiaTheme="minorEastAsia"/>
      <w:color w:val="7B2D2B" w:themeColor="accent3" w:themeShade="80"/>
      <w:spacing w:val="5"/>
      <w:sz w:val="20"/>
      <w:szCs w:val="20"/>
    </w:rPr>
  </w:style>
  <w:style w:type="character" w:customStyle="1" w:styleId="15">
    <w:name w:val="不明显强调1"/>
    <w:uiPriority w:val="19"/>
    <w:qFormat/>
    <w:rPr>
      <w:i/>
      <w:iCs/>
    </w:rPr>
  </w:style>
  <w:style w:type="character" w:customStyle="1" w:styleId="16">
    <w:name w:val="明显强调1"/>
    <w:uiPriority w:val="21"/>
    <w:qFormat/>
    <w:rPr>
      <w:i/>
      <w:iCs/>
      <w:caps/>
      <w:spacing w:val="10"/>
      <w:sz w:val="20"/>
      <w:szCs w:val="20"/>
    </w:rPr>
  </w:style>
  <w:style w:type="character" w:customStyle="1" w:styleId="17">
    <w:name w:val="不明显参考1"/>
    <w:basedOn w:val="a0"/>
    <w:uiPriority w:val="31"/>
    <w:qFormat/>
    <w:rPr>
      <w:rFonts w:asciiTheme="minorHAnsi" w:eastAsiaTheme="minorEastAsia" w:hAnsiTheme="minorHAnsi" w:cstheme="minorBidi"/>
      <w:i/>
      <w:iCs/>
      <w:color w:val="325465" w:themeColor="accent2" w:themeShade="80"/>
    </w:rPr>
  </w:style>
  <w:style w:type="character" w:customStyle="1" w:styleId="18">
    <w:name w:val="明显参考1"/>
    <w:uiPriority w:val="32"/>
    <w:qFormat/>
    <w:rPr>
      <w:rFonts w:asciiTheme="minorHAnsi" w:eastAsiaTheme="minorEastAsia" w:hAnsiTheme="minorHAnsi" w:cstheme="minorBidi"/>
      <w:b/>
      <w:bCs/>
      <w:i/>
      <w:iCs/>
      <w:color w:val="325465" w:themeColor="accent2" w:themeShade="80"/>
    </w:rPr>
  </w:style>
  <w:style w:type="character" w:customStyle="1" w:styleId="19">
    <w:name w:val="书籍标题1"/>
    <w:uiPriority w:val="33"/>
    <w:qFormat/>
    <w:rPr>
      <w:caps/>
      <w:color w:val="325465" w:themeColor="accent2" w:themeShade="80"/>
      <w:spacing w:val="5"/>
      <w:u w:color="325364" w:themeColor="accent2" w:themeShade="7F"/>
    </w:rPr>
  </w:style>
  <w:style w:type="paragraph" w:customStyle="1" w:styleId="TOC1">
    <w:name w:val="TOC 标题1"/>
    <w:basedOn w:val="1"/>
    <w:next w:val="a"/>
    <w:uiPriority w:val="39"/>
    <w:unhideWhenUsed/>
    <w:qFormat/>
    <w:pPr>
      <w:framePr w:wrap="around"/>
      <w:outlineLvl w:val="9"/>
    </w:pPr>
  </w:style>
  <w:style w:type="character" w:customStyle="1" w:styleId="Char5">
    <w:name w:val="页眉 Char"/>
    <w:basedOn w:val="a0"/>
    <w:link w:val="ab"/>
    <w:uiPriority w:val="99"/>
    <w:qFormat/>
    <w:rPr>
      <w:sz w:val="18"/>
      <w:szCs w:val="24"/>
    </w:rPr>
  </w:style>
  <w:style w:type="character" w:customStyle="1" w:styleId="Char4">
    <w:name w:val="页脚 Char"/>
    <w:basedOn w:val="a0"/>
    <w:link w:val="aa"/>
    <w:uiPriority w:val="99"/>
    <w:qFormat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qFormat/>
    <w:rPr>
      <w:sz w:val="18"/>
      <w:szCs w:val="18"/>
    </w:rPr>
  </w:style>
  <w:style w:type="character" w:customStyle="1" w:styleId="Char7">
    <w:name w:val="脚注文本 Char"/>
    <w:basedOn w:val="a0"/>
    <w:link w:val="ad"/>
    <w:uiPriority w:val="99"/>
    <w:qFormat/>
    <w:rPr>
      <w:rFonts w:ascii="Times New Roman" w:eastAsia="宋体" w:hAnsi="Times New Roman"/>
      <w:kern w:val="2"/>
      <w:sz w:val="18"/>
      <w:szCs w:val="18"/>
      <w:lang w:eastAsia="zh-CN" w:bidi="ar-SA"/>
    </w:rPr>
  </w:style>
  <w:style w:type="character" w:customStyle="1" w:styleId="Char1">
    <w:name w:val="日期 Char"/>
    <w:basedOn w:val="a0"/>
    <w:link w:val="a7"/>
    <w:uiPriority w:val="99"/>
    <w:semiHidden/>
    <w:qFormat/>
    <w:rPr>
      <w:sz w:val="24"/>
      <w:szCs w:val="24"/>
    </w:rPr>
  </w:style>
  <w:style w:type="character" w:customStyle="1" w:styleId="afa">
    <w:name w:val="无间隔 字符"/>
    <w:basedOn w:val="a0"/>
    <w:link w:val="11"/>
    <w:uiPriority w:val="1"/>
    <w:qFormat/>
  </w:style>
  <w:style w:type="character" w:customStyle="1" w:styleId="Char0">
    <w:name w:val="正文文本 Char"/>
    <w:basedOn w:val="a0"/>
    <w:link w:val="a6"/>
    <w:qFormat/>
    <w:rPr>
      <w:rFonts w:ascii="Garamond" w:eastAsia="宋体" w:hAnsi="Garamond"/>
      <w:szCs w:val="20"/>
      <w:lang w:bidi="ar-SA"/>
    </w:rPr>
  </w:style>
  <w:style w:type="paragraph" w:customStyle="1" w:styleId="1a">
    <w:name w:val="样式1"/>
    <w:basedOn w:val="a"/>
    <w:link w:val="1Char0"/>
    <w:qFormat/>
    <w:pPr>
      <w:ind w:firstLine="360"/>
    </w:pPr>
    <w:rPr>
      <w:lang w:eastAsia="zh-CN" w:bidi="ar-SA"/>
    </w:rPr>
  </w:style>
  <w:style w:type="paragraph" w:customStyle="1" w:styleId="21">
    <w:name w:val="样式2"/>
    <w:basedOn w:val="1a"/>
    <w:link w:val="2Char0"/>
    <w:qFormat/>
    <w:rPr>
      <w:szCs w:val="24"/>
    </w:rPr>
  </w:style>
  <w:style w:type="character" w:customStyle="1" w:styleId="1Char0">
    <w:name w:val="样式1 Char"/>
    <w:basedOn w:val="a0"/>
    <w:link w:val="1a"/>
    <w:qFormat/>
    <w:rPr>
      <w:lang w:eastAsia="zh-CN" w:bidi="ar-SA"/>
    </w:rPr>
  </w:style>
  <w:style w:type="paragraph" w:customStyle="1" w:styleId="31">
    <w:name w:val="样式3"/>
    <w:basedOn w:val="21"/>
    <w:link w:val="3Char0"/>
    <w:uiPriority w:val="99"/>
    <w:qFormat/>
  </w:style>
  <w:style w:type="character" w:customStyle="1" w:styleId="2Char0">
    <w:name w:val="样式2 Char"/>
    <w:basedOn w:val="1Char0"/>
    <w:link w:val="21"/>
    <w:qFormat/>
    <w:rPr>
      <w:szCs w:val="24"/>
      <w:lang w:eastAsia="zh-CN" w:bidi="ar-SA"/>
    </w:rPr>
  </w:style>
  <w:style w:type="paragraph" w:customStyle="1" w:styleId="-">
    <w:name w:val="要点-季报"/>
    <w:basedOn w:val="a3"/>
    <w:link w:val="-Char"/>
    <w:qFormat/>
    <w:pPr>
      <w:spacing w:line="312" w:lineRule="auto"/>
      <w:ind w:firstLineChars="0" w:firstLine="0"/>
    </w:pPr>
    <w:rPr>
      <w:rFonts w:eastAsia="楷体"/>
      <w:sz w:val="21"/>
    </w:rPr>
  </w:style>
  <w:style w:type="character" w:customStyle="1" w:styleId="3Char0">
    <w:name w:val="样式3 Char"/>
    <w:basedOn w:val="2Char0"/>
    <w:link w:val="31"/>
    <w:uiPriority w:val="99"/>
    <w:qFormat/>
    <w:rPr>
      <w:szCs w:val="24"/>
      <w:lang w:eastAsia="zh-CN" w:bidi="ar-SA"/>
    </w:rPr>
  </w:style>
  <w:style w:type="paragraph" w:customStyle="1" w:styleId="50">
    <w:name w:val="样式5"/>
    <w:basedOn w:val="31"/>
    <w:link w:val="5Char0"/>
    <w:qFormat/>
  </w:style>
  <w:style w:type="character" w:customStyle="1" w:styleId="-Char">
    <w:name w:val="要点-季报 Char"/>
    <w:basedOn w:val="2Char0"/>
    <w:link w:val="-"/>
    <w:qFormat/>
    <w:rPr>
      <w:rFonts w:eastAsia="楷体"/>
      <w:sz w:val="21"/>
      <w:szCs w:val="24"/>
      <w:lang w:eastAsia="zh-CN" w:bidi="ar-SA"/>
    </w:rPr>
  </w:style>
  <w:style w:type="character" w:customStyle="1" w:styleId="5Char0">
    <w:name w:val="样式5 Char"/>
    <w:basedOn w:val="3Char0"/>
    <w:link w:val="50"/>
    <w:qFormat/>
    <w:rPr>
      <w:szCs w:val="24"/>
      <w:lang w:eastAsia="zh-CN" w:bidi="ar-SA"/>
    </w:rPr>
  </w:style>
  <w:style w:type="table" w:customStyle="1" w:styleId="1b">
    <w:name w:val="网格型1"/>
    <w:basedOn w:val="a1"/>
    <w:uiPriority w:val="59"/>
    <w:qFormat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网格型2"/>
    <w:basedOn w:val="a1"/>
    <w:uiPriority w:val="59"/>
    <w:qFormat/>
    <w:rPr>
      <w:rFonts w:ascii="Calibri" w:hAnsi="Calibri"/>
      <w:sz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网格型3"/>
    <w:basedOn w:val="a1"/>
    <w:uiPriority w:val="59"/>
    <w:qFormat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d">
    <w:name w:val="文与编译"/>
    <w:basedOn w:val="a"/>
    <w:qFormat/>
    <w:pPr>
      <w:widowControl w:val="0"/>
      <w:ind w:firstLineChars="0" w:firstLine="0"/>
    </w:pPr>
    <w:rPr>
      <w:rFonts w:ascii="华文楷体" w:eastAsia="华文楷体" w:hAnsi="华文楷体" w:cs="Times New Roman"/>
      <w:color w:val="08364E" w:themeColor="accent1" w:themeShade="80"/>
      <w:sz w:val="21"/>
      <w:szCs w:val="20"/>
      <w:lang w:eastAsia="zh-CN" w:bidi="ar-SA"/>
    </w:rPr>
  </w:style>
  <w:style w:type="paragraph" w:customStyle="1" w:styleId="afe">
    <w:name w:val="文章与编译"/>
    <w:basedOn w:val="afd"/>
    <w:qFormat/>
    <w:pPr>
      <w:jc w:val="center"/>
    </w:pPr>
    <w:rPr>
      <w:rFonts w:eastAsia="楷体"/>
    </w:rPr>
  </w:style>
  <w:style w:type="paragraph" w:customStyle="1" w:styleId="aff">
    <w:name w:val="导读"/>
    <w:basedOn w:val="afe"/>
    <w:qFormat/>
    <w:pPr>
      <w:spacing w:before="50"/>
      <w:jc w:val="left"/>
    </w:pPr>
    <w:rPr>
      <w:rFonts w:ascii="黑体"/>
    </w:rPr>
  </w:style>
  <w:style w:type="paragraph" w:customStyle="1" w:styleId="60">
    <w:name w:val="样式6"/>
    <w:basedOn w:val="ab"/>
    <w:next w:val="21"/>
    <w:link w:val="6Char0"/>
    <w:qFormat/>
    <w:pPr>
      <w:spacing w:before="120"/>
    </w:pPr>
  </w:style>
  <w:style w:type="paragraph" w:customStyle="1" w:styleId="70">
    <w:name w:val="样式7"/>
    <w:basedOn w:val="1a"/>
    <w:next w:val="1a"/>
    <w:link w:val="7Char0"/>
    <w:qFormat/>
  </w:style>
  <w:style w:type="character" w:customStyle="1" w:styleId="6Char0">
    <w:name w:val="样式6 Char"/>
    <w:basedOn w:val="Char5"/>
    <w:link w:val="60"/>
    <w:qFormat/>
    <w:rPr>
      <w:rFonts w:eastAsiaTheme="minorEastAsia"/>
      <w:sz w:val="18"/>
      <w:szCs w:val="24"/>
    </w:rPr>
  </w:style>
  <w:style w:type="paragraph" w:customStyle="1" w:styleId="80">
    <w:name w:val="样式8"/>
    <w:basedOn w:val="1a"/>
    <w:next w:val="1a"/>
    <w:link w:val="8Char0"/>
    <w:qFormat/>
    <w:pPr>
      <w:spacing w:before="120"/>
    </w:pPr>
  </w:style>
  <w:style w:type="character" w:customStyle="1" w:styleId="7Char0">
    <w:name w:val="样式7 Char"/>
    <w:basedOn w:val="1Char0"/>
    <w:link w:val="70"/>
    <w:qFormat/>
    <w:rPr>
      <w:rFonts w:eastAsiaTheme="minorEastAsia"/>
      <w:sz w:val="24"/>
      <w:lang w:eastAsia="zh-CN" w:bidi="ar-SA"/>
    </w:rPr>
  </w:style>
  <w:style w:type="paragraph" w:customStyle="1" w:styleId="-0">
    <w:name w:val="注释-季报"/>
    <w:basedOn w:val="a3"/>
    <w:next w:val="1a"/>
    <w:link w:val="-Char0"/>
    <w:qFormat/>
    <w:pPr>
      <w:spacing w:afterLines="50" w:line="240" w:lineRule="auto"/>
      <w:ind w:firstLine="200"/>
    </w:pPr>
    <w:rPr>
      <w:rFonts w:eastAsia="黑体"/>
      <w:sz w:val="20"/>
    </w:rPr>
  </w:style>
  <w:style w:type="character" w:customStyle="1" w:styleId="8Char0">
    <w:name w:val="样式8 Char"/>
    <w:basedOn w:val="1Char0"/>
    <w:link w:val="80"/>
    <w:qFormat/>
    <w:rPr>
      <w:rFonts w:eastAsiaTheme="minorEastAsia"/>
      <w:sz w:val="24"/>
      <w:lang w:eastAsia="zh-CN" w:bidi="ar-SA"/>
    </w:rPr>
  </w:style>
  <w:style w:type="paragraph" w:customStyle="1" w:styleId="100">
    <w:name w:val="样式10"/>
    <w:basedOn w:val="1a"/>
    <w:next w:val="1a"/>
    <w:link w:val="10Char"/>
    <w:qFormat/>
  </w:style>
  <w:style w:type="character" w:customStyle="1" w:styleId="-Char0">
    <w:name w:val="注释-季报 Char"/>
    <w:basedOn w:val="Char5"/>
    <w:link w:val="-0"/>
    <w:qFormat/>
    <w:rPr>
      <w:rFonts w:ascii="Calibri" w:eastAsia="黑体" w:hAnsi="Calibri"/>
      <w:sz w:val="20"/>
      <w:szCs w:val="24"/>
    </w:rPr>
  </w:style>
  <w:style w:type="character" w:customStyle="1" w:styleId="10Char">
    <w:name w:val="样式10 Char"/>
    <w:basedOn w:val="1Char0"/>
    <w:link w:val="100"/>
    <w:qFormat/>
    <w:rPr>
      <w:rFonts w:eastAsiaTheme="minorEastAsia"/>
      <w:sz w:val="24"/>
      <w:lang w:eastAsia="zh-CN" w:bidi="ar-SA"/>
    </w:rPr>
  </w:style>
  <w:style w:type="table" w:customStyle="1" w:styleId="130">
    <w:name w:val="网格型13"/>
    <w:basedOn w:val="a1"/>
    <w:uiPriority w:val="59"/>
    <w:qFormat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  <w:spacing w:after="160" w:line="259" w:lineRule="auto"/>
    </w:pPr>
    <w:rPr>
      <w:rFonts w:ascii="楷体" w:eastAsia="楷体" w:hAnsiTheme="majorHAnsi" w:cs="楷体"/>
      <w:color w:val="000000"/>
      <w:kern w:val="2"/>
      <w:sz w:val="24"/>
      <w:szCs w:val="24"/>
      <w:lang w:eastAsia="en-US"/>
    </w:rPr>
  </w:style>
  <w:style w:type="paragraph" w:customStyle="1" w:styleId="-1">
    <w:name w:val="题注-季度报告"/>
    <w:basedOn w:val="a"/>
    <w:link w:val="-Char1"/>
    <w:qFormat/>
    <w:pPr>
      <w:ind w:firstLineChars="0" w:firstLine="0"/>
      <w:jc w:val="center"/>
    </w:pPr>
    <w:rPr>
      <w:rFonts w:eastAsia="华文细黑" w:cs="Times New Roman"/>
      <w:bCs/>
      <w:sz w:val="21"/>
      <w:szCs w:val="18"/>
      <w:lang w:eastAsia="zh-CN"/>
    </w:rPr>
  </w:style>
  <w:style w:type="character" w:customStyle="1" w:styleId="Char">
    <w:name w:val="批注文字 Char"/>
    <w:basedOn w:val="a0"/>
    <w:link w:val="a5"/>
    <w:uiPriority w:val="99"/>
    <w:qFormat/>
    <w:rPr>
      <w:rFonts w:eastAsiaTheme="minorEastAsia"/>
      <w:sz w:val="24"/>
    </w:rPr>
  </w:style>
  <w:style w:type="character" w:customStyle="1" w:styleId="Char9">
    <w:name w:val="批注主题 Char"/>
    <w:basedOn w:val="Char"/>
    <w:link w:val="af1"/>
    <w:uiPriority w:val="99"/>
    <w:semiHidden/>
    <w:qFormat/>
    <w:rPr>
      <w:rFonts w:eastAsiaTheme="minorEastAsia"/>
      <w:b/>
      <w:bCs/>
      <w:sz w:val="24"/>
    </w:rPr>
  </w:style>
  <w:style w:type="paragraph" w:customStyle="1" w:styleId="-2">
    <w:name w:val="文中标题-季度报告"/>
    <w:basedOn w:val="a"/>
    <w:link w:val="-Char2"/>
    <w:qFormat/>
    <w:pPr>
      <w:spacing w:beforeLines="50"/>
      <w:ind w:firstLineChars="0" w:firstLine="0"/>
    </w:pPr>
    <w:rPr>
      <w:rFonts w:asciiTheme="minorHAnsi" w:hAnsiTheme="minorHAnsi" w:cs="Times New Roman"/>
      <w:b/>
      <w:sz w:val="28"/>
      <w:szCs w:val="28"/>
      <w:lang w:eastAsia="zh-CN" w:bidi="ar-SA"/>
    </w:rPr>
  </w:style>
  <w:style w:type="character" w:customStyle="1" w:styleId="-Char2">
    <w:name w:val="文中标题-季度报告 Char"/>
    <w:basedOn w:val="a0"/>
    <w:link w:val="-2"/>
    <w:qFormat/>
    <w:rPr>
      <w:rFonts w:asciiTheme="minorHAnsi" w:eastAsiaTheme="minorEastAsia" w:hAnsiTheme="minorHAnsi" w:cs="Times New Roman"/>
      <w:b/>
      <w:kern w:val="2"/>
      <w:sz w:val="28"/>
      <w:szCs w:val="28"/>
      <w:lang w:eastAsia="zh-CN" w:bidi="ar-SA"/>
    </w:rPr>
  </w:style>
  <w:style w:type="character" w:customStyle="1" w:styleId="-Char1">
    <w:name w:val="题注-季度报告 Char"/>
    <w:basedOn w:val="a0"/>
    <w:link w:val="-1"/>
    <w:qFormat/>
    <w:rPr>
      <w:rFonts w:ascii="Calibri" w:eastAsia="华文细黑" w:hAnsi="Calibri" w:cs="Times New Roman"/>
      <w:bCs/>
      <w:sz w:val="21"/>
      <w:szCs w:val="18"/>
      <w:lang w:eastAsia="zh-CN"/>
    </w:rPr>
  </w:style>
  <w:style w:type="paragraph" w:customStyle="1" w:styleId="aff0">
    <w:name w:val="专栏标题"/>
    <w:basedOn w:val="a"/>
    <w:link w:val="Chara"/>
    <w:qFormat/>
    <w:pPr>
      <w:widowControl w:val="0"/>
      <w:spacing w:line="312" w:lineRule="auto"/>
      <w:ind w:firstLineChars="0" w:firstLine="0"/>
      <w:jc w:val="center"/>
    </w:pPr>
    <w:rPr>
      <w:rFonts w:ascii="华文细黑" w:eastAsia="华文细黑" w:hAnsi="华文细黑" w:cs="Times New Roman"/>
      <w:b/>
      <w:szCs w:val="24"/>
      <w:lang w:eastAsia="zh-CN" w:bidi="ar-SA"/>
    </w:rPr>
  </w:style>
  <w:style w:type="paragraph" w:customStyle="1" w:styleId="-3">
    <w:name w:val="专栏正文-季度报告"/>
    <w:basedOn w:val="a"/>
    <w:link w:val="-Char3"/>
    <w:qFormat/>
    <w:pPr>
      <w:widowControl w:val="0"/>
    </w:pPr>
    <w:rPr>
      <w:rFonts w:ascii="华文细黑" w:eastAsia="华文细黑" w:hAnsi="华文细黑" w:cs="Times New Roman"/>
      <w:sz w:val="21"/>
      <w:szCs w:val="21"/>
      <w:lang w:eastAsia="zh-CN" w:bidi="ar-SA"/>
    </w:rPr>
  </w:style>
  <w:style w:type="character" w:customStyle="1" w:styleId="Chara">
    <w:name w:val="专栏标题 Char"/>
    <w:basedOn w:val="a0"/>
    <w:link w:val="aff0"/>
    <w:qFormat/>
    <w:rPr>
      <w:rFonts w:ascii="华文细黑" w:eastAsia="华文细黑" w:hAnsi="华文细黑" w:cs="Times New Roman"/>
      <w:b/>
      <w:kern w:val="2"/>
      <w:sz w:val="24"/>
      <w:szCs w:val="24"/>
      <w:lang w:eastAsia="zh-CN" w:bidi="ar-SA"/>
    </w:rPr>
  </w:style>
  <w:style w:type="character" w:customStyle="1" w:styleId="-Char3">
    <w:name w:val="专栏正文-季度报告 Char"/>
    <w:basedOn w:val="a0"/>
    <w:link w:val="-3"/>
    <w:qFormat/>
    <w:rPr>
      <w:rFonts w:ascii="华文细黑" w:eastAsia="华文细黑" w:hAnsi="华文细黑" w:cs="Times New Roman"/>
      <w:kern w:val="2"/>
      <w:sz w:val="21"/>
      <w:szCs w:val="21"/>
      <w:lang w:eastAsia="zh-CN" w:bidi="ar-SA"/>
    </w:rPr>
  </w:style>
  <w:style w:type="table" w:customStyle="1" w:styleId="40">
    <w:name w:val="网格型4"/>
    <w:basedOn w:val="a1"/>
    <w:uiPriority w:val="59"/>
    <w:qFormat/>
    <w:rPr>
      <w:rFonts w:asciiTheme="minorHAnsi" w:eastAsiaTheme="minorEastAsia" w:hAnsi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">
    <w:name w:val="修订1"/>
    <w:hidden/>
    <w:uiPriority w:val="99"/>
    <w:semiHidden/>
    <w:qFormat/>
    <w:pPr>
      <w:spacing w:after="160" w:line="259" w:lineRule="auto"/>
    </w:pPr>
    <w:rPr>
      <w:rFonts w:ascii="Calibri" w:eastAsiaTheme="minorEastAsia" w:hAnsi="Calibri" w:cstheme="majorBidi"/>
      <w:kern w:val="2"/>
      <w:sz w:val="24"/>
      <w:szCs w:val="22"/>
      <w:lang w:eastAsia="en-US" w:bidi="en-US"/>
    </w:rPr>
  </w:style>
  <w:style w:type="character" w:customStyle="1" w:styleId="11Char">
    <w:name w:val="样式11 Char"/>
    <w:basedOn w:val="a0"/>
    <w:link w:val="110"/>
    <w:qFormat/>
    <w:locked/>
    <w:rPr>
      <w:rFonts w:ascii="楷体" w:eastAsia="楷体" w:hAnsi="楷体"/>
      <w:color w:val="000000"/>
      <w:sz w:val="24"/>
      <w:szCs w:val="24"/>
    </w:rPr>
  </w:style>
  <w:style w:type="paragraph" w:customStyle="1" w:styleId="110">
    <w:name w:val="样式11"/>
    <w:basedOn w:val="a"/>
    <w:link w:val="11Char"/>
    <w:qFormat/>
    <w:pPr>
      <w:widowControl w:val="0"/>
      <w:autoSpaceDE w:val="0"/>
      <w:autoSpaceDN w:val="0"/>
      <w:adjustRightInd w:val="0"/>
      <w:ind w:firstLine="480"/>
    </w:pPr>
    <w:rPr>
      <w:rFonts w:ascii="楷体" w:eastAsia="楷体" w:hAnsi="楷体"/>
      <w:color w:val="000000"/>
      <w:szCs w:val="24"/>
    </w:rPr>
  </w:style>
  <w:style w:type="paragraph" w:customStyle="1" w:styleId="para">
    <w:name w:val="para"/>
    <w:basedOn w:val="a"/>
    <w:qFormat/>
    <w:pPr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szCs w:val="24"/>
      <w:lang w:eastAsia="zh-CN" w:bidi="ar-SA"/>
    </w:rPr>
  </w:style>
  <w:style w:type="character" w:customStyle="1" w:styleId="Char2">
    <w:name w:val="尾注文本 Char"/>
    <w:basedOn w:val="a0"/>
    <w:link w:val="a8"/>
    <w:uiPriority w:val="99"/>
    <w:semiHidden/>
    <w:qFormat/>
    <w:rPr>
      <w:rFonts w:ascii="Calibri" w:eastAsiaTheme="minorEastAsia" w:hAnsi="Calibri"/>
      <w:sz w:val="24"/>
    </w:rPr>
  </w:style>
  <w:style w:type="character" w:customStyle="1" w:styleId="HTMLChar">
    <w:name w:val="HTML 预设格式 Char"/>
    <w:basedOn w:val="a0"/>
    <w:link w:val="HTML"/>
    <w:uiPriority w:val="99"/>
    <w:qFormat/>
    <w:rPr>
      <w:rFonts w:ascii="宋体" w:eastAsia="宋体" w:hAnsi="宋体" w:cs="宋体"/>
      <w:kern w:val="0"/>
      <w:sz w:val="24"/>
      <w:szCs w:val="24"/>
      <w:lang w:eastAsia="zh-CN" w:bidi="ar-SA"/>
    </w:rPr>
  </w:style>
  <w:style w:type="paragraph" w:customStyle="1" w:styleId="23">
    <w:name w:val="修订2"/>
    <w:hidden/>
    <w:uiPriority w:val="99"/>
    <w:semiHidden/>
    <w:qFormat/>
    <w:pPr>
      <w:spacing w:after="160" w:line="259" w:lineRule="auto"/>
    </w:pPr>
    <w:rPr>
      <w:rFonts w:ascii="Calibri" w:eastAsiaTheme="minorEastAsia" w:hAnsi="Calibri" w:cstheme="majorBidi"/>
      <w:kern w:val="2"/>
      <w:sz w:val="24"/>
      <w:szCs w:val="22"/>
      <w:lang w:eastAsia="en-US" w:bidi="en-US"/>
    </w:rPr>
  </w:style>
  <w:style w:type="character" w:customStyle="1" w:styleId="1d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33">
    <w:name w:val="修订3"/>
    <w:hidden/>
    <w:uiPriority w:val="99"/>
    <w:semiHidden/>
    <w:qFormat/>
    <w:pPr>
      <w:spacing w:after="160" w:line="259" w:lineRule="auto"/>
    </w:pPr>
    <w:rPr>
      <w:rFonts w:ascii="Calibri" w:eastAsiaTheme="minorEastAsia" w:hAnsi="Calibri" w:cstheme="majorBidi"/>
      <w:kern w:val="2"/>
      <w:sz w:val="24"/>
      <w:szCs w:val="22"/>
      <w:lang w:eastAsia="en-US" w:bidi="en-US"/>
    </w:rPr>
  </w:style>
  <w:style w:type="paragraph" w:customStyle="1" w:styleId="41">
    <w:name w:val="修订4"/>
    <w:hidden/>
    <w:uiPriority w:val="99"/>
    <w:semiHidden/>
    <w:qFormat/>
    <w:pPr>
      <w:spacing w:after="160" w:line="259" w:lineRule="auto"/>
    </w:pPr>
    <w:rPr>
      <w:rFonts w:ascii="Calibri" w:eastAsiaTheme="minorEastAsia" w:hAnsi="Calibri" w:cstheme="majorBidi"/>
      <w:kern w:val="2"/>
      <w:sz w:val="24"/>
      <w:szCs w:val="22"/>
      <w:lang w:eastAsia="en-US" w:bidi="en-US"/>
    </w:rPr>
  </w:style>
  <w:style w:type="paragraph" w:customStyle="1" w:styleId="p1">
    <w:name w:val="p1"/>
    <w:basedOn w:val="a"/>
    <w:qFormat/>
    <w:pPr>
      <w:spacing w:after="0" w:line="380" w:lineRule="atLeast"/>
      <w:jc w:val="left"/>
    </w:pPr>
    <w:rPr>
      <w:rFonts w:ascii="Helvetica Neue" w:eastAsia="Helvetica Neue" w:hAnsi="Helvetica Neue" w:cs="Times New Roman"/>
      <w:color w:val="000000"/>
      <w:kern w:val="0"/>
      <w:sz w:val="26"/>
      <w:szCs w:val="26"/>
      <w:lang w:eastAsia="zh-CN" w:bidi="ar-SA"/>
    </w:rPr>
  </w:style>
  <w:style w:type="paragraph" w:customStyle="1" w:styleId="51">
    <w:name w:val="修订5"/>
    <w:hidden/>
    <w:uiPriority w:val="99"/>
    <w:semiHidden/>
    <w:qFormat/>
    <w:rPr>
      <w:rFonts w:ascii="Calibri" w:eastAsiaTheme="minorEastAsia" w:hAnsi="Calibri" w:cstheme="majorBidi"/>
      <w:kern w:val="2"/>
      <w:sz w:val="24"/>
      <w:szCs w:val="22"/>
      <w:lang w:eastAsia="en-US" w:bidi="en-US"/>
    </w:rPr>
  </w:style>
  <w:style w:type="paragraph" w:styleId="aff1">
    <w:name w:val="List Paragraph"/>
    <w:basedOn w:val="a"/>
    <w:uiPriority w:val="99"/>
    <w:qFormat/>
    <w:pPr>
      <w:ind w:firstLine="420"/>
    </w:pPr>
  </w:style>
  <w:style w:type="paragraph" w:customStyle="1" w:styleId="61">
    <w:name w:val="修订6"/>
    <w:hidden/>
    <w:uiPriority w:val="99"/>
    <w:semiHidden/>
    <w:qFormat/>
    <w:rPr>
      <w:rFonts w:ascii="Calibri" w:eastAsiaTheme="minorEastAsia" w:hAnsi="Calibri" w:cstheme="majorBidi"/>
      <w:kern w:val="2"/>
      <w:sz w:val="24"/>
      <w:szCs w:val="22"/>
      <w:lang w:eastAsia="en-US" w:bidi="en-US"/>
    </w:rPr>
  </w:style>
  <w:style w:type="paragraph" w:customStyle="1" w:styleId="71">
    <w:name w:val="修订7"/>
    <w:hidden/>
    <w:uiPriority w:val="99"/>
    <w:unhideWhenUsed/>
    <w:qFormat/>
    <w:rPr>
      <w:rFonts w:ascii="Calibri" w:eastAsiaTheme="minorEastAsia" w:hAnsi="Calibri" w:cstheme="majorBidi"/>
      <w:kern w:val="2"/>
      <w:sz w:val="24"/>
      <w:szCs w:val="22"/>
      <w:lang w:eastAsia="en-US" w:bidi="en-US"/>
    </w:rPr>
  </w:style>
  <w:style w:type="paragraph" w:customStyle="1" w:styleId="81">
    <w:name w:val="修订8"/>
    <w:hidden/>
    <w:uiPriority w:val="99"/>
    <w:unhideWhenUsed/>
    <w:qFormat/>
    <w:rPr>
      <w:rFonts w:ascii="Calibri" w:eastAsiaTheme="minorEastAsia" w:hAnsi="Calibri" w:cstheme="majorBidi"/>
      <w:kern w:val="2"/>
      <w:sz w:val="24"/>
      <w:szCs w:val="22"/>
      <w:lang w:eastAsia="en-US" w:bidi="en-US"/>
    </w:rPr>
  </w:style>
  <w:style w:type="paragraph" w:styleId="aff2">
    <w:name w:val="Revision"/>
    <w:hidden/>
    <w:uiPriority w:val="99"/>
    <w:unhideWhenUsed/>
    <w:rsid w:val="00C777D5"/>
    <w:rPr>
      <w:rFonts w:ascii="Calibri" w:eastAsiaTheme="minorEastAsia" w:hAnsi="Calibri" w:cstheme="majorBidi"/>
      <w:kern w:val="2"/>
      <w:sz w:val="24"/>
      <w:szCs w:val="22"/>
      <w:lang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qFormat="1"/>
    <w:lsdException w:name="footnote text" w:unhideWhenUsed="0" w:qFormat="1"/>
    <w:lsdException w:name="annotation text" w:qFormat="1"/>
    <w:lsdException w:name="header" w:qFormat="1"/>
    <w:lsdException w:name="footer" w:qFormat="1"/>
    <w:lsdException w:name="index heading" w:semiHidden="1"/>
    <w:lsdException w:name="caption" w:uiPriority="35" w:qFormat="1"/>
    <w:lsdException w:name="table of figures" w:qFormat="1"/>
    <w:lsdException w:name="envelope address" w:semiHidden="1"/>
    <w:lsdException w:name="envelope return" w:semiHidden="1"/>
    <w:lsdException w:name="footnote reference" w:unhideWhenUsed="0" w:qFormat="1"/>
    <w:lsdException w:name="annotation reference" w:qFormat="1"/>
    <w:lsdException w:name="line number" w:semiHidden="1"/>
    <w:lsdException w:name="page number" w:semiHidden="1"/>
    <w:lsdException w:name="endnote reference" w:qFormat="1"/>
    <w:lsdException w:name="endnote text" w:qFormat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unhideWhenUsed="0" w:qFormat="1"/>
    <w:lsdException w:name="Closing" w:semiHidden="1"/>
    <w:lsdException w:name="Signature" w:semiHidden="1"/>
    <w:lsdException w:name="Default Paragraph Font" w:semiHidden="1" w:uiPriority="1"/>
    <w:lsdException w:name="Body Text" w:uiPriority="0" w:unhideWhenUsed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qFormat="1"/>
    <w:lsdException w:name="Strong" w:uiPriority="22" w:unhideWhenUsed="0" w:qFormat="1"/>
    <w:lsdException w:name="Emphasis" w:uiPriority="20" w:unhideWhenUsed="0" w:qFormat="1"/>
    <w:lsdException w:name="Document Map" w:semiHidden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qFormat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qFormat="1"/>
    <w:lsdException w:name="HTML Sample" w:semiHidden="1"/>
    <w:lsdException w:name="HTML Typewriter" w:semiHidden="1"/>
    <w:lsdException w:name="HTML Variable" w:semiHidden="1"/>
    <w:lsdException w:name="Normal Table" w:semiHidden="1"/>
    <w:lsdException w:name="annotation subject" w:qFormat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qFormat="1"/>
    <w:lsdException w:name="Table Grid" w:uiPriority="59" w:unhideWhenUsed="0" w:qFormat="1"/>
    <w:lsdException w:name="Table Theme" w:semiHidden="1"/>
    <w:lsdException w:name="Placeholder Text" w:semiHidden="1"/>
    <w:lsdException w:name="No Spacing" w:semiHidden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/>
    <w:lsdException w:name="List Paragraph" w:unhideWhenUsed="0" w:qFormat="1"/>
    <w:lsdException w:name="Quote" w:semiHidden="1"/>
    <w:lsdException w:name="Intense Quote" w:semiHidden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pPr>
      <w:spacing w:after="160" w:line="360" w:lineRule="auto"/>
      <w:ind w:firstLineChars="200" w:firstLine="200"/>
      <w:jc w:val="both"/>
    </w:pPr>
    <w:rPr>
      <w:rFonts w:ascii="Calibri" w:eastAsiaTheme="minorEastAsia" w:hAnsi="Calibri" w:cstheme="majorBidi"/>
      <w:kern w:val="2"/>
      <w:sz w:val="24"/>
      <w:szCs w:val="22"/>
      <w:lang w:eastAsia="en-US" w:bidi="en-US"/>
    </w:rPr>
  </w:style>
  <w:style w:type="paragraph" w:styleId="1">
    <w:name w:val="heading 1"/>
    <w:basedOn w:val="a"/>
    <w:next w:val="a"/>
    <w:link w:val="1Char"/>
    <w:uiPriority w:val="9"/>
    <w:qFormat/>
    <w:pPr>
      <w:framePr w:wrap="around" w:vAnchor="text" w:hAnchor="text" w:y="1"/>
      <w:pBdr>
        <w:bottom w:val="single" w:sz="24" w:space="1" w:color="2B4958" w:themeColor="accent4" w:themeShade="80"/>
      </w:pBdr>
      <w:spacing w:before="400"/>
      <w:jc w:val="center"/>
      <w:outlineLvl w:val="0"/>
    </w:pPr>
    <w:rPr>
      <w:rFonts w:ascii="Times New Roman" w:hAnsi="Times New Roman"/>
      <w:b/>
      <w:color w:val="325465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pPr>
      <w:pBdr>
        <w:bottom w:val="single" w:sz="4" w:space="1" w:color="325364" w:themeColor="accent2" w:themeShade="7F"/>
      </w:pBdr>
      <w:spacing w:before="240" w:after="60"/>
      <w:ind w:firstLineChars="0" w:firstLine="0"/>
      <w:jc w:val="center"/>
      <w:outlineLvl w:val="1"/>
    </w:pPr>
    <w:rPr>
      <w:rFonts w:eastAsia="华文隶书"/>
      <w:b/>
      <w:caps/>
      <w:color w:val="000000"/>
      <w:sz w:val="30"/>
      <w:szCs w:val="24"/>
    </w:rPr>
  </w:style>
  <w:style w:type="paragraph" w:styleId="3">
    <w:name w:val="heading 3"/>
    <w:basedOn w:val="a"/>
    <w:next w:val="a"/>
    <w:link w:val="3Char"/>
    <w:uiPriority w:val="9"/>
    <w:unhideWhenUsed/>
    <w:qFormat/>
    <w:pPr>
      <w:pBdr>
        <w:top w:val="dotted" w:sz="4" w:space="1" w:color="325364" w:themeColor="accent2" w:themeShade="7F"/>
        <w:bottom w:val="dotted" w:sz="4" w:space="1" w:color="325364" w:themeColor="accent2" w:themeShade="7F"/>
      </w:pBdr>
      <w:spacing w:before="300"/>
      <w:jc w:val="center"/>
      <w:outlineLvl w:val="2"/>
    </w:pPr>
    <w:rPr>
      <w:caps/>
      <w:color w:val="325465" w:themeColor="accent2" w:themeShade="80"/>
      <w:szCs w:val="24"/>
    </w:rPr>
  </w:style>
  <w:style w:type="paragraph" w:styleId="4">
    <w:name w:val="heading 4"/>
    <w:basedOn w:val="a"/>
    <w:next w:val="a"/>
    <w:link w:val="4Char"/>
    <w:uiPriority w:val="9"/>
    <w:unhideWhenUsed/>
    <w:qFormat/>
    <w:pPr>
      <w:pBdr>
        <w:bottom w:val="dotted" w:sz="4" w:space="1" w:color="4B7D96" w:themeColor="accent2" w:themeShade="BF"/>
      </w:pBdr>
      <w:spacing w:after="120"/>
      <w:jc w:val="center"/>
      <w:outlineLvl w:val="3"/>
    </w:pPr>
    <w:rPr>
      <w:caps/>
      <w:color w:val="08364E" w:themeColor="accent1" w:themeShade="80"/>
      <w:spacing w:val="10"/>
    </w:rPr>
  </w:style>
  <w:style w:type="paragraph" w:styleId="5">
    <w:name w:val="heading 5"/>
    <w:basedOn w:val="a"/>
    <w:next w:val="a"/>
    <w:link w:val="5Char"/>
    <w:uiPriority w:val="9"/>
    <w:unhideWhenUsed/>
    <w:qFormat/>
    <w:pPr>
      <w:spacing w:before="320" w:after="120"/>
      <w:jc w:val="center"/>
      <w:outlineLvl w:val="4"/>
    </w:pPr>
    <w:rPr>
      <w:caps/>
      <w:color w:val="325465" w:themeColor="accent2" w:themeShade="80"/>
      <w:spacing w:val="10"/>
    </w:rPr>
  </w:style>
  <w:style w:type="paragraph" w:styleId="6">
    <w:name w:val="heading 6"/>
    <w:basedOn w:val="a"/>
    <w:next w:val="a"/>
    <w:link w:val="6Char"/>
    <w:uiPriority w:val="9"/>
    <w:unhideWhenUsed/>
    <w:qFormat/>
    <w:pPr>
      <w:spacing w:after="120"/>
      <w:jc w:val="center"/>
      <w:outlineLvl w:val="5"/>
    </w:pPr>
    <w:rPr>
      <w:caps/>
      <w:color w:val="4B7D96" w:themeColor="accent2" w:themeShade="BF"/>
      <w:spacing w:val="10"/>
    </w:rPr>
  </w:style>
  <w:style w:type="paragraph" w:styleId="7">
    <w:name w:val="heading 7"/>
    <w:basedOn w:val="a"/>
    <w:next w:val="a"/>
    <w:link w:val="7Char"/>
    <w:uiPriority w:val="9"/>
    <w:unhideWhenUsed/>
    <w:qFormat/>
    <w:pPr>
      <w:spacing w:after="120"/>
      <w:jc w:val="center"/>
      <w:outlineLvl w:val="6"/>
    </w:pPr>
    <w:rPr>
      <w:i/>
      <w:iCs/>
      <w:caps/>
      <w:color w:val="4B7D96" w:themeColor="accent2" w:themeShade="BF"/>
      <w:spacing w:val="10"/>
    </w:rPr>
  </w:style>
  <w:style w:type="paragraph" w:styleId="8">
    <w:name w:val="heading 8"/>
    <w:basedOn w:val="a"/>
    <w:next w:val="a"/>
    <w:link w:val="8Char"/>
    <w:uiPriority w:val="9"/>
    <w:unhideWhenUsed/>
    <w:qFormat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Char"/>
    <w:uiPriority w:val="9"/>
    <w:unhideWhenUsed/>
    <w:qFormat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iPriority w:val="99"/>
    <w:unhideWhenUsed/>
    <w:qFormat/>
    <w:pPr>
      <w:ind w:firstLine="420"/>
    </w:pPr>
  </w:style>
  <w:style w:type="paragraph" w:styleId="a4">
    <w:name w:val="caption"/>
    <w:basedOn w:val="a"/>
    <w:next w:val="a"/>
    <w:uiPriority w:val="35"/>
    <w:unhideWhenUsed/>
    <w:qFormat/>
    <w:rPr>
      <w:caps/>
      <w:spacing w:val="10"/>
      <w:sz w:val="18"/>
      <w:szCs w:val="18"/>
    </w:rPr>
  </w:style>
  <w:style w:type="paragraph" w:styleId="a5">
    <w:name w:val="annotation text"/>
    <w:basedOn w:val="a"/>
    <w:link w:val="Char"/>
    <w:uiPriority w:val="99"/>
    <w:unhideWhenUsed/>
    <w:qFormat/>
  </w:style>
  <w:style w:type="paragraph" w:styleId="a6">
    <w:name w:val="Body Text"/>
    <w:basedOn w:val="a"/>
    <w:link w:val="Char0"/>
    <w:qFormat/>
    <w:pPr>
      <w:spacing w:after="180"/>
    </w:pPr>
    <w:rPr>
      <w:rFonts w:ascii="Garamond" w:eastAsia="宋体" w:hAnsi="Garamond"/>
      <w:szCs w:val="20"/>
      <w:lang w:bidi="ar-SA"/>
    </w:rPr>
  </w:style>
  <w:style w:type="paragraph" w:styleId="30">
    <w:name w:val="toc 3"/>
    <w:basedOn w:val="a"/>
    <w:next w:val="a"/>
    <w:uiPriority w:val="39"/>
    <w:unhideWhenUsed/>
    <w:qFormat/>
    <w:pPr>
      <w:spacing w:after="100" w:line="276" w:lineRule="auto"/>
      <w:ind w:left="440"/>
    </w:pPr>
    <w:rPr>
      <w:rFonts w:cstheme="minorBidi"/>
      <w:lang w:eastAsia="zh-CN" w:bidi="ar-SA"/>
    </w:rPr>
  </w:style>
  <w:style w:type="paragraph" w:styleId="a7">
    <w:name w:val="Date"/>
    <w:basedOn w:val="a"/>
    <w:next w:val="a"/>
    <w:link w:val="Char1"/>
    <w:uiPriority w:val="99"/>
    <w:unhideWhenUsed/>
    <w:qFormat/>
    <w:pPr>
      <w:ind w:leftChars="2500" w:left="100"/>
    </w:pPr>
  </w:style>
  <w:style w:type="paragraph" w:styleId="a8">
    <w:name w:val="endnote text"/>
    <w:basedOn w:val="a"/>
    <w:link w:val="Char2"/>
    <w:uiPriority w:val="99"/>
    <w:unhideWhenUsed/>
    <w:qFormat/>
    <w:pPr>
      <w:snapToGrid w:val="0"/>
      <w:jc w:val="left"/>
    </w:pPr>
  </w:style>
  <w:style w:type="paragraph" w:styleId="a9">
    <w:name w:val="Balloon Text"/>
    <w:basedOn w:val="a"/>
    <w:link w:val="Char3"/>
    <w:uiPriority w:val="99"/>
    <w:unhideWhenUsed/>
    <w:qFormat/>
    <w:rPr>
      <w:sz w:val="18"/>
      <w:szCs w:val="18"/>
    </w:rPr>
  </w:style>
  <w:style w:type="paragraph" w:styleId="aa">
    <w:name w:val="footer"/>
    <w:basedOn w:val="a"/>
    <w:link w:val="Char4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b">
    <w:name w:val="header"/>
    <w:basedOn w:val="a"/>
    <w:link w:val="Char5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="360"/>
      <w:jc w:val="center"/>
    </w:pPr>
    <w:rPr>
      <w:sz w:val="18"/>
      <w:szCs w:val="24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296"/>
      </w:tabs>
      <w:spacing w:before="163" w:after="100" w:line="276" w:lineRule="auto"/>
      <w:ind w:firstLine="480"/>
    </w:pPr>
    <w:rPr>
      <w:rFonts w:ascii="华文隶书" w:eastAsia="华文隶书" w:hAnsi="Times New Roman" w:cs="Times New Roman"/>
      <w:b/>
      <w:spacing w:val="20"/>
      <w:lang w:eastAsia="zh-CN"/>
    </w:rPr>
  </w:style>
  <w:style w:type="paragraph" w:styleId="ac">
    <w:name w:val="Subtitle"/>
    <w:basedOn w:val="a"/>
    <w:next w:val="a"/>
    <w:link w:val="Char6"/>
    <w:uiPriority w:val="11"/>
    <w:qFormat/>
    <w:pPr>
      <w:spacing w:beforeLines="50" w:before="50"/>
    </w:pPr>
    <w:rPr>
      <w:rFonts w:eastAsia="楷体"/>
      <w:caps/>
      <w:spacing w:val="20"/>
      <w:szCs w:val="18"/>
      <w:lang w:eastAsia="zh-CN"/>
    </w:rPr>
  </w:style>
  <w:style w:type="paragraph" w:styleId="ad">
    <w:name w:val="footnote text"/>
    <w:basedOn w:val="a"/>
    <w:link w:val="Char7"/>
    <w:uiPriority w:val="99"/>
    <w:qFormat/>
    <w:pPr>
      <w:widowControl w:val="0"/>
      <w:snapToGrid w:val="0"/>
    </w:pPr>
    <w:rPr>
      <w:rFonts w:ascii="Times New Roman" w:eastAsia="宋体" w:hAnsi="Times New Roman"/>
      <w:sz w:val="18"/>
      <w:szCs w:val="18"/>
      <w:lang w:eastAsia="zh-CN" w:bidi="ar-SA"/>
    </w:rPr>
  </w:style>
  <w:style w:type="paragraph" w:styleId="ae">
    <w:name w:val="table of figures"/>
    <w:basedOn w:val="a"/>
    <w:next w:val="a"/>
    <w:uiPriority w:val="99"/>
    <w:unhideWhenUsed/>
    <w:qFormat/>
    <w:pPr>
      <w:ind w:leftChars="200" w:left="200" w:hangingChars="200" w:hanging="200"/>
    </w:pPr>
  </w:style>
  <w:style w:type="paragraph" w:styleId="20">
    <w:name w:val="toc 2"/>
    <w:basedOn w:val="a"/>
    <w:next w:val="a"/>
    <w:uiPriority w:val="39"/>
    <w:unhideWhenUsed/>
    <w:qFormat/>
    <w:pPr>
      <w:spacing w:after="100" w:line="276" w:lineRule="auto"/>
      <w:ind w:left="220"/>
    </w:pPr>
    <w:rPr>
      <w:rFonts w:cstheme="minorBidi"/>
      <w:lang w:eastAsia="zh-CN" w:bidi="ar-SA"/>
    </w:rPr>
  </w:style>
  <w:style w:type="paragraph" w:styleId="HTML">
    <w:name w:val="HTML Preformatted"/>
    <w:basedOn w:val="a"/>
    <w:link w:val="HTMLChar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Chars="0" w:firstLine="0"/>
      <w:jc w:val="left"/>
    </w:pPr>
    <w:rPr>
      <w:rFonts w:ascii="宋体" w:eastAsia="宋体" w:hAnsi="宋体" w:cs="宋体"/>
      <w:kern w:val="0"/>
      <w:szCs w:val="24"/>
      <w:lang w:eastAsia="zh-CN" w:bidi="ar-SA"/>
    </w:rPr>
  </w:style>
  <w:style w:type="paragraph" w:styleId="af">
    <w:name w:val="Normal (Web)"/>
    <w:basedOn w:val="a"/>
    <w:uiPriority w:val="99"/>
    <w:unhideWhenUsed/>
    <w:qFormat/>
    <w:pPr>
      <w:spacing w:before="100" w:beforeAutospacing="1" w:after="100" w:afterAutospacing="1" w:line="240" w:lineRule="auto"/>
      <w:ind w:firstLineChars="0" w:firstLine="0"/>
    </w:pPr>
    <w:rPr>
      <w:rFonts w:ascii="宋体" w:eastAsia="宋体" w:hAnsi="宋体" w:cs="宋体"/>
      <w:szCs w:val="24"/>
      <w:lang w:eastAsia="zh-CN" w:bidi="ar-SA"/>
    </w:rPr>
  </w:style>
  <w:style w:type="paragraph" w:styleId="af0">
    <w:name w:val="Title"/>
    <w:basedOn w:val="a"/>
    <w:next w:val="a"/>
    <w:link w:val="Char8"/>
    <w:uiPriority w:val="10"/>
    <w:qFormat/>
    <w:pPr>
      <w:pBdr>
        <w:top w:val="dotted" w:sz="2" w:space="1" w:color="325465" w:themeColor="accent2" w:themeShade="80"/>
        <w:bottom w:val="dotted" w:sz="2" w:space="6" w:color="325465" w:themeColor="accent2" w:themeShade="80"/>
      </w:pBdr>
      <w:spacing w:before="500" w:after="300"/>
      <w:jc w:val="center"/>
    </w:pPr>
    <w:rPr>
      <w:caps/>
      <w:color w:val="325465" w:themeColor="accent2" w:themeShade="80"/>
      <w:spacing w:val="50"/>
      <w:sz w:val="44"/>
      <w:szCs w:val="44"/>
    </w:rPr>
  </w:style>
  <w:style w:type="paragraph" w:styleId="af1">
    <w:name w:val="annotation subject"/>
    <w:basedOn w:val="a5"/>
    <w:next w:val="a5"/>
    <w:link w:val="Char9"/>
    <w:uiPriority w:val="99"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Strong"/>
    <w:uiPriority w:val="22"/>
    <w:qFormat/>
    <w:rPr>
      <w:rFonts w:eastAsia="楷体"/>
      <w:bCs/>
      <w:color w:val="auto"/>
      <w:spacing w:val="5"/>
      <w:sz w:val="21"/>
    </w:rPr>
  </w:style>
  <w:style w:type="character" w:styleId="af4">
    <w:name w:val="endnote reference"/>
    <w:basedOn w:val="a0"/>
    <w:uiPriority w:val="99"/>
    <w:unhideWhenUsed/>
    <w:qFormat/>
    <w:rPr>
      <w:vertAlign w:val="superscript"/>
    </w:rPr>
  </w:style>
  <w:style w:type="character" w:styleId="af5">
    <w:name w:val="FollowedHyperlink"/>
    <w:basedOn w:val="a0"/>
    <w:uiPriority w:val="99"/>
    <w:unhideWhenUsed/>
    <w:qFormat/>
    <w:rPr>
      <w:color w:val="954F72" w:themeColor="followedHyperlink"/>
      <w:u w:val="single"/>
    </w:rPr>
  </w:style>
  <w:style w:type="character" w:styleId="af6">
    <w:name w:val="Emphasis"/>
    <w:uiPriority w:val="20"/>
    <w:qFormat/>
    <w:rPr>
      <w:caps/>
      <w:spacing w:val="5"/>
      <w:sz w:val="20"/>
      <w:szCs w:val="20"/>
    </w:rPr>
  </w:style>
  <w:style w:type="character" w:styleId="af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8">
    <w:name w:val="annotation reference"/>
    <w:basedOn w:val="a0"/>
    <w:uiPriority w:val="99"/>
    <w:unhideWhenUsed/>
    <w:qFormat/>
    <w:rPr>
      <w:sz w:val="21"/>
      <w:szCs w:val="21"/>
    </w:rPr>
  </w:style>
  <w:style w:type="character" w:styleId="af9">
    <w:name w:val="footnote reference"/>
    <w:basedOn w:val="a0"/>
    <w:uiPriority w:val="99"/>
    <w:qFormat/>
    <w:rPr>
      <w:vertAlign w:val="superscript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Theme="minorEastAsia" w:hAnsi="Times New Roman"/>
      <w:b/>
      <w:color w:val="325465" w:themeColor="accent2" w:themeShade="80"/>
      <w:spacing w:val="20"/>
      <w:sz w:val="28"/>
      <w:szCs w:val="28"/>
    </w:rPr>
  </w:style>
  <w:style w:type="character" w:customStyle="1" w:styleId="Char8">
    <w:name w:val="标题 Char"/>
    <w:basedOn w:val="a0"/>
    <w:link w:val="af0"/>
    <w:uiPriority w:val="10"/>
    <w:qFormat/>
    <w:rPr>
      <w:rFonts w:eastAsiaTheme="majorEastAsia" w:cstheme="majorBidi"/>
      <w:caps/>
      <w:color w:val="325465" w:themeColor="accent2" w:themeShade="80"/>
      <w:spacing w:val="50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libri" w:eastAsia="华文隶书" w:hAnsi="Calibri"/>
      <w:b/>
      <w:caps/>
      <w:color w:val="000000"/>
      <w:sz w:val="30"/>
      <w:szCs w:val="24"/>
    </w:rPr>
  </w:style>
  <w:style w:type="character" w:customStyle="1" w:styleId="3Char">
    <w:name w:val="标题 3 Char"/>
    <w:basedOn w:val="a0"/>
    <w:link w:val="3"/>
    <w:uiPriority w:val="9"/>
    <w:qFormat/>
    <w:rPr>
      <w:rFonts w:eastAsiaTheme="majorEastAsia" w:cstheme="majorBidi"/>
      <w:caps/>
      <w:color w:val="325465" w:themeColor="accent2" w:themeShade="80"/>
      <w:sz w:val="24"/>
      <w:szCs w:val="24"/>
    </w:rPr>
  </w:style>
  <w:style w:type="character" w:customStyle="1" w:styleId="4Char">
    <w:name w:val="标题 4 Char"/>
    <w:basedOn w:val="a0"/>
    <w:link w:val="4"/>
    <w:uiPriority w:val="9"/>
    <w:qFormat/>
    <w:rPr>
      <w:rFonts w:eastAsiaTheme="minorEastAsia"/>
      <w:caps/>
      <w:color w:val="08364E" w:themeColor="accent1" w:themeShade="80"/>
      <w:spacing w:val="10"/>
      <w:sz w:val="24"/>
    </w:rPr>
  </w:style>
  <w:style w:type="character" w:customStyle="1" w:styleId="5Char">
    <w:name w:val="标题 5 Char"/>
    <w:basedOn w:val="a0"/>
    <w:link w:val="5"/>
    <w:uiPriority w:val="9"/>
    <w:semiHidden/>
    <w:qFormat/>
    <w:rPr>
      <w:rFonts w:eastAsiaTheme="majorEastAsia" w:cstheme="majorBidi"/>
      <w:caps/>
      <w:color w:val="325465" w:themeColor="accent2" w:themeShade="80"/>
      <w:spacing w:val="10"/>
    </w:rPr>
  </w:style>
  <w:style w:type="character" w:customStyle="1" w:styleId="6Char">
    <w:name w:val="标题 6 Char"/>
    <w:basedOn w:val="a0"/>
    <w:link w:val="6"/>
    <w:uiPriority w:val="9"/>
    <w:semiHidden/>
    <w:qFormat/>
    <w:rPr>
      <w:rFonts w:eastAsiaTheme="majorEastAsia" w:cstheme="majorBidi"/>
      <w:caps/>
      <w:color w:val="4B7D96" w:themeColor="accent2" w:themeShade="BF"/>
      <w:spacing w:val="10"/>
    </w:rPr>
  </w:style>
  <w:style w:type="character" w:customStyle="1" w:styleId="7Char">
    <w:name w:val="标题 7 Char"/>
    <w:basedOn w:val="a0"/>
    <w:link w:val="7"/>
    <w:uiPriority w:val="9"/>
    <w:semiHidden/>
    <w:qFormat/>
    <w:rPr>
      <w:rFonts w:eastAsiaTheme="majorEastAsia" w:cstheme="majorBidi"/>
      <w:i/>
      <w:iCs/>
      <w:caps/>
      <w:color w:val="4B7D96" w:themeColor="accent2" w:themeShade="BF"/>
      <w:spacing w:val="10"/>
    </w:rPr>
  </w:style>
  <w:style w:type="character" w:customStyle="1" w:styleId="8Char">
    <w:name w:val="标题 8 Char"/>
    <w:basedOn w:val="a0"/>
    <w:link w:val="8"/>
    <w:uiPriority w:val="9"/>
    <w:semiHidden/>
    <w:qFormat/>
    <w:rPr>
      <w:rFonts w:eastAsiaTheme="majorEastAsia" w:cstheme="majorBidi"/>
      <w:caps/>
      <w:spacing w:val="10"/>
      <w:sz w:val="20"/>
      <w:szCs w:val="20"/>
    </w:rPr>
  </w:style>
  <w:style w:type="character" w:customStyle="1" w:styleId="9Char">
    <w:name w:val="标题 9 Char"/>
    <w:basedOn w:val="a0"/>
    <w:link w:val="9"/>
    <w:uiPriority w:val="9"/>
    <w:semiHidden/>
    <w:qFormat/>
    <w:rPr>
      <w:rFonts w:eastAsiaTheme="majorEastAsia" w:cstheme="majorBidi"/>
      <w:i/>
      <w:iCs/>
      <w:caps/>
      <w:spacing w:val="10"/>
      <w:sz w:val="20"/>
      <w:szCs w:val="20"/>
    </w:rPr>
  </w:style>
  <w:style w:type="character" w:customStyle="1" w:styleId="Char6">
    <w:name w:val="副标题 Char"/>
    <w:basedOn w:val="a0"/>
    <w:link w:val="ac"/>
    <w:uiPriority w:val="11"/>
    <w:qFormat/>
    <w:rPr>
      <w:rFonts w:ascii="Calibri" w:eastAsia="楷体" w:hAnsi="Calibri"/>
      <w:caps/>
      <w:spacing w:val="20"/>
      <w:sz w:val="24"/>
      <w:szCs w:val="18"/>
      <w:lang w:eastAsia="zh-CN"/>
    </w:rPr>
  </w:style>
  <w:style w:type="paragraph" w:customStyle="1" w:styleId="11">
    <w:name w:val="无间隔1"/>
    <w:basedOn w:val="a"/>
    <w:link w:val="afa"/>
    <w:uiPriority w:val="1"/>
    <w:qFormat/>
  </w:style>
  <w:style w:type="paragraph" w:customStyle="1" w:styleId="12">
    <w:name w:val="列表段落1"/>
    <w:basedOn w:val="a"/>
    <w:uiPriority w:val="34"/>
    <w:qFormat/>
    <w:pPr>
      <w:ind w:left="720"/>
      <w:contextualSpacing/>
    </w:pPr>
  </w:style>
  <w:style w:type="paragraph" w:customStyle="1" w:styleId="13">
    <w:name w:val="引用1"/>
    <w:basedOn w:val="a"/>
    <w:next w:val="a"/>
    <w:link w:val="afb"/>
    <w:uiPriority w:val="29"/>
    <w:qFormat/>
    <w:rPr>
      <w:i/>
      <w:iCs/>
    </w:rPr>
  </w:style>
  <w:style w:type="character" w:customStyle="1" w:styleId="afb">
    <w:name w:val="引用 字符"/>
    <w:basedOn w:val="a0"/>
    <w:link w:val="13"/>
    <w:uiPriority w:val="29"/>
    <w:qFormat/>
    <w:rPr>
      <w:rFonts w:eastAsiaTheme="majorEastAsia" w:cstheme="majorBidi"/>
      <w:i/>
      <w:iCs/>
    </w:rPr>
  </w:style>
  <w:style w:type="paragraph" w:customStyle="1" w:styleId="14">
    <w:name w:val="明显引用1"/>
    <w:basedOn w:val="a"/>
    <w:next w:val="a"/>
    <w:link w:val="afc"/>
    <w:uiPriority w:val="30"/>
    <w:qFormat/>
    <w:pPr>
      <w:pBdr>
        <w:top w:val="double" w:sz="4" w:space="10" w:color="auto"/>
        <w:bottom w:val="double" w:sz="4" w:space="4" w:color="auto"/>
      </w:pBdr>
      <w:spacing w:before="50"/>
      <w:ind w:firstLineChars="0" w:firstLine="0"/>
    </w:pPr>
    <w:rPr>
      <w:color w:val="7B2D2B" w:themeColor="accent3" w:themeShade="80"/>
      <w:spacing w:val="5"/>
      <w:sz w:val="20"/>
      <w:szCs w:val="20"/>
    </w:rPr>
  </w:style>
  <w:style w:type="character" w:customStyle="1" w:styleId="afc">
    <w:name w:val="明显引用 字符"/>
    <w:basedOn w:val="a0"/>
    <w:link w:val="14"/>
    <w:uiPriority w:val="30"/>
    <w:qFormat/>
    <w:rPr>
      <w:rFonts w:eastAsiaTheme="minorEastAsia"/>
      <w:color w:val="7B2D2B" w:themeColor="accent3" w:themeShade="80"/>
      <w:spacing w:val="5"/>
      <w:sz w:val="20"/>
      <w:szCs w:val="20"/>
    </w:rPr>
  </w:style>
  <w:style w:type="character" w:customStyle="1" w:styleId="15">
    <w:name w:val="不明显强调1"/>
    <w:uiPriority w:val="19"/>
    <w:qFormat/>
    <w:rPr>
      <w:i/>
      <w:iCs/>
    </w:rPr>
  </w:style>
  <w:style w:type="character" w:customStyle="1" w:styleId="16">
    <w:name w:val="明显强调1"/>
    <w:uiPriority w:val="21"/>
    <w:qFormat/>
    <w:rPr>
      <w:i/>
      <w:iCs/>
      <w:caps/>
      <w:spacing w:val="10"/>
      <w:sz w:val="20"/>
      <w:szCs w:val="20"/>
    </w:rPr>
  </w:style>
  <w:style w:type="character" w:customStyle="1" w:styleId="17">
    <w:name w:val="不明显参考1"/>
    <w:basedOn w:val="a0"/>
    <w:uiPriority w:val="31"/>
    <w:qFormat/>
    <w:rPr>
      <w:rFonts w:asciiTheme="minorHAnsi" w:eastAsiaTheme="minorEastAsia" w:hAnsiTheme="minorHAnsi" w:cstheme="minorBidi"/>
      <w:i/>
      <w:iCs/>
      <w:color w:val="325465" w:themeColor="accent2" w:themeShade="80"/>
    </w:rPr>
  </w:style>
  <w:style w:type="character" w:customStyle="1" w:styleId="18">
    <w:name w:val="明显参考1"/>
    <w:uiPriority w:val="32"/>
    <w:qFormat/>
    <w:rPr>
      <w:rFonts w:asciiTheme="minorHAnsi" w:eastAsiaTheme="minorEastAsia" w:hAnsiTheme="minorHAnsi" w:cstheme="minorBidi"/>
      <w:b/>
      <w:bCs/>
      <w:i/>
      <w:iCs/>
      <w:color w:val="325465" w:themeColor="accent2" w:themeShade="80"/>
    </w:rPr>
  </w:style>
  <w:style w:type="character" w:customStyle="1" w:styleId="19">
    <w:name w:val="书籍标题1"/>
    <w:uiPriority w:val="33"/>
    <w:qFormat/>
    <w:rPr>
      <w:caps/>
      <w:color w:val="325465" w:themeColor="accent2" w:themeShade="80"/>
      <w:spacing w:val="5"/>
      <w:u w:color="325364" w:themeColor="accent2" w:themeShade="7F"/>
    </w:rPr>
  </w:style>
  <w:style w:type="paragraph" w:customStyle="1" w:styleId="TOC1">
    <w:name w:val="TOC 标题1"/>
    <w:basedOn w:val="1"/>
    <w:next w:val="a"/>
    <w:uiPriority w:val="39"/>
    <w:unhideWhenUsed/>
    <w:qFormat/>
    <w:pPr>
      <w:framePr w:wrap="around"/>
      <w:outlineLvl w:val="9"/>
    </w:pPr>
  </w:style>
  <w:style w:type="character" w:customStyle="1" w:styleId="Char5">
    <w:name w:val="页眉 Char"/>
    <w:basedOn w:val="a0"/>
    <w:link w:val="ab"/>
    <w:uiPriority w:val="99"/>
    <w:qFormat/>
    <w:rPr>
      <w:sz w:val="18"/>
      <w:szCs w:val="24"/>
    </w:rPr>
  </w:style>
  <w:style w:type="character" w:customStyle="1" w:styleId="Char4">
    <w:name w:val="页脚 Char"/>
    <w:basedOn w:val="a0"/>
    <w:link w:val="aa"/>
    <w:uiPriority w:val="99"/>
    <w:qFormat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qFormat/>
    <w:rPr>
      <w:sz w:val="18"/>
      <w:szCs w:val="18"/>
    </w:rPr>
  </w:style>
  <w:style w:type="character" w:customStyle="1" w:styleId="Char7">
    <w:name w:val="脚注文本 Char"/>
    <w:basedOn w:val="a0"/>
    <w:link w:val="ad"/>
    <w:uiPriority w:val="99"/>
    <w:qFormat/>
    <w:rPr>
      <w:rFonts w:ascii="Times New Roman" w:eastAsia="宋体" w:hAnsi="Times New Roman"/>
      <w:kern w:val="2"/>
      <w:sz w:val="18"/>
      <w:szCs w:val="18"/>
      <w:lang w:eastAsia="zh-CN" w:bidi="ar-SA"/>
    </w:rPr>
  </w:style>
  <w:style w:type="character" w:customStyle="1" w:styleId="Char1">
    <w:name w:val="日期 Char"/>
    <w:basedOn w:val="a0"/>
    <w:link w:val="a7"/>
    <w:uiPriority w:val="99"/>
    <w:semiHidden/>
    <w:qFormat/>
    <w:rPr>
      <w:sz w:val="24"/>
      <w:szCs w:val="24"/>
    </w:rPr>
  </w:style>
  <w:style w:type="character" w:customStyle="1" w:styleId="afa">
    <w:name w:val="无间隔 字符"/>
    <w:basedOn w:val="a0"/>
    <w:link w:val="11"/>
    <w:uiPriority w:val="1"/>
    <w:qFormat/>
  </w:style>
  <w:style w:type="character" w:customStyle="1" w:styleId="Char0">
    <w:name w:val="正文文本 Char"/>
    <w:basedOn w:val="a0"/>
    <w:link w:val="a6"/>
    <w:qFormat/>
    <w:rPr>
      <w:rFonts w:ascii="Garamond" w:eastAsia="宋体" w:hAnsi="Garamond"/>
      <w:szCs w:val="20"/>
      <w:lang w:bidi="ar-SA"/>
    </w:rPr>
  </w:style>
  <w:style w:type="paragraph" w:customStyle="1" w:styleId="1a">
    <w:name w:val="样式1"/>
    <w:basedOn w:val="a"/>
    <w:link w:val="1Char0"/>
    <w:qFormat/>
    <w:pPr>
      <w:ind w:firstLine="360"/>
    </w:pPr>
    <w:rPr>
      <w:lang w:eastAsia="zh-CN" w:bidi="ar-SA"/>
    </w:rPr>
  </w:style>
  <w:style w:type="paragraph" w:customStyle="1" w:styleId="21">
    <w:name w:val="样式2"/>
    <w:basedOn w:val="1a"/>
    <w:link w:val="2Char0"/>
    <w:qFormat/>
    <w:rPr>
      <w:szCs w:val="24"/>
    </w:rPr>
  </w:style>
  <w:style w:type="character" w:customStyle="1" w:styleId="1Char0">
    <w:name w:val="样式1 Char"/>
    <w:basedOn w:val="a0"/>
    <w:link w:val="1a"/>
    <w:qFormat/>
    <w:rPr>
      <w:lang w:eastAsia="zh-CN" w:bidi="ar-SA"/>
    </w:rPr>
  </w:style>
  <w:style w:type="paragraph" w:customStyle="1" w:styleId="31">
    <w:name w:val="样式3"/>
    <w:basedOn w:val="21"/>
    <w:link w:val="3Char0"/>
    <w:uiPriority w:val="99"/>
    <w:qFormat/>
  </w:style>
  <w:style w:type="character" w:customStyle="1" w:styleId="2Char0">
    <w:name w:val="样式2 Char"/>
    <w:basedOn w:val="1Char0"/>
    <w:link w:val="21"/>
    <w:qFormat/>
    <w:rPr>
      <w:szCs w:val="24"/>
      <w:lang w:eastAsia="zh-CN" w:bidi="ar-SA"/>
    </w:rPr>
  </w:style>
  <w:style w:type="paragraph" w:customStyle="1" w:styleId="-">
    <w:name w:val="要点-季报"/>
    <w:basedOn w:val="a3"/>
    <w:link w:val="-Char"/>
    <w:qFormat/>
    <w:pPr>
      <w:spacing w:line="312" w:lineRule="auto"/>
      <w:ind w:firstLineChars="0" w:firstLine="0"/>
    </w:pPr>
    <w:rPr>
      <w:rFonts w:eastAsia="楷体"/>
      <w:sz w:val="21"/>
    </w:rPr>
  </w:style>
  <w:style w:type="character" w:customStyle="1" w:styleId="3Char0">
    <w:name w:val="样式3 Char"/>
    <w:basedOn w:val="2Char0"/>
    <w:link w:val="31"/>
    <w:uiPriority w:val="99"/>
    <w:qFormat/>
    <w:rPr>
      <w:szCs w:val="24"/>
      <w:lang w:eastAsia="zh-CN" w:bidi="ar-SA"/>
    </w:rPr>
  </w:style>
  <w:style w:type="paragraph" w:customStyle="1" w:styleId="50">
    <w:name w:val="样式5"/>
    <w:basedOn w:val="31"/>
    <w:link w:val="5Char0"/>
    <w:qFormat/>
  </w:style>
  <w:style w:type="character" w:customStyle="1" w:styleId="-Char">
    <w:name w:val="要点-季报 Char"/>
    <w:basedOn w:val="2Char0"/>
    <w:link w:val="-"/>
    <w:qFormat/>
    <w:rPr>
      <w:rFonts w:eastAsia="楷体"/>
      <w:sz w:val="21"/>
      <w:szCs w:val="24"/>
      <w:lang w:eastAsia="zh-CN" w:bidi="ar-SA"/>
    </w:rPr>
  </w:style>
  <w:style w:type="character" w:customStyle="1" w:styleId="5Char0">
    <w:name w:val="样式5 Char"/>
    <w:basedOn w:val="3Char0"/>
    <w:link w:val="50"/>
    <w:qFormat/>
    <w:rPr>
      <w:szCs w:val="24"/>
      <w:lang w:eastAsia="zh-CN" w:bidi="ar-SA"/>
    </w:rPr>
  </w:style>
  <w:style w:type="table" w:customStyle="1" w:styleId="1b">
    <w:name w:val="网格型1"/>
    <w:basedOn w:val="a1"/>
    <w:uiPriority w:val="59"/>
    <w:qFormat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网格型2"/>
    <w:basedOn w:val="a1"/>
    <w:uiPriority w:val="59"/>
    <w:qFormat/>
    <w:rPr>
      <w:rFonts w:ascii="Calibri" w:hAnsi="Calibri"/>
      <w:sz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网格型3"/>
    <w:basedOn w:val="a1"/>
    <w:uiPriority w:val="59"/>
    <w:qFormat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d">
    <w:name w:val="文与编译"/>
    <w:basedOn w:val="a"/>
    <w:qFormat/>
    <w:pPr>
      <w:widowControl w:val="0"/>
      <w:ind w:firstLineChars="0" w:firstLine="0"/>
    </w:pPr>
    <w:rPr>
      <w:rFonts w:ascii="华文楷体" w:eastAsia="华文楷体" w:hAnsi="华文楷体" w:cs="Times New Roman"/>
      <w:color w:val="08364E" w:themeColor="accent1" w:themeShade="80"/>
      <w:sz w:val="21"/>
      <w:szCs w:val="20"/>
      <w:lang w:eastAsia="zh-CN" w:bidi="ar-SA"/>
    </w:rPr>
  </w:style>
  <w:style w:type="paragraph" w:customStyle="1" w:styleId="afe">
    <w:name w:val="文章与编译"/>
    <w:basedOn w:val="afd"/>
    <w:qFormat/>
    <w:pPr>
      <w:jc w:val="center"/>
    </w:pPr>
    <w:rPr>
      <w:rFonts w:eastAsia="楷体"/>
    </w:rPr>
  </w:style>
  <w:style w:type="paragraph" w:customStyle="1" w:styleId="aff">
    <w:name w:val="导读"/>
    <w:basedOn w:val="afe"/>
    <w:qFormat/>
    <w:pPr>
      <w:spacing w:before="50"/>
      <w:jc w:val="left"/>
    </w:pPr>
    <w:rPr>
      <w:rFonts w:ascii="黑体"/>
    </w:rPr>
  </w:style>
  <w:style w:type="paragraph" w:customStyle="1" w:styleId="60">
    <w:name w:val="样式6"/>
    <w:basedOn w:val="ab"/>
    <w:next w:val="21"/>
    <w:link w:val="6Char0"/>
    <w:qFormat/>
    <w:pPr>
      <w:spacing w:before="120"/>
    </w:pPr>
  </w:style>
  <w:style w:type="paragraph" w:customStyle="1" w:styleId="70">
    <w:name w:val="样式7"/>
    <w:basedOn w:val="1a"/>
    <w:next w:val="1a"/>
    <w:link w:val="7Char0"/>
    <w:qFormat/>
  </w:style>
  <w:style w:type="character" w:customStyle="1" w:styleId="6Char0">
    <w:name w:val="样式6 Char"/>
    <w:basedOn w:val="Char5"/>
    <w:link w:val="60"/>
    <w:qFormat/>
    <w:rPr>
      <w:rFonts w:eastAsiaTheme="minorEastAsia"/>
      <w:sz w:val="18"/>
      <w:szCs w:val="24"/>
    </w:rPr>
  </w:style>
  <w:style w:type="paragraph" w:customStyle="1" w:styleId="80">
    <w:name w:val="样式8"/>
    <w:basedOn w:val="1a"/>
    <w:next w:val="1a"/>
    <w:link w:val="8Char0"/>
    <w:qFormat/>
    <w:pPr>
      <w:spacing w:before="120"/>
    </w:pPr>
  </w:style>
  <w:style w:type="character" w:customStyle="1" w:styleId="7Char0">
    <w:name w:val="样式7 Char"/>
    <w:basedOn w:val="1Char0"/>
    <w:link w:val="70"/>
    <w:qFormat/>
    <w:rPr>
      <w:rFonts w:eastAsiaTheme="minorEastAsia"/>
      <w:sz w:val="24"/>
      <w:lang w:eastAsia="zh-CN" w:bidi="ar-SA"/>
    </w:rPr>
  </w:style>
  <w:style w:type="paragraph" w:customStyle="1" w:styleId="-0">
    <w:name w:val="注释-季报"/>
    <w:basedOn w:val="a3"/>
    <w:next w:val="1a"/>
    <w:link w:val="-Char0"/>
    <w:qFormat/>
    <w:pPr>
      <w:spacing w:afterLines="50" w:line="240" w:lineRule="auto"/>
      <w:ind w:firstLine="200"/>
    </w:pPr>
    <w:rPr>
      <w:rFonts w:eastAsia="黑体"/>
      <w:sz w:val="20"/>
    </w:rPr>
  </w:style>
  <w:style w:type="character" w:customStyle="1" w:styleId="8Char0">
    <w:name w:val="样式8 Char"/>
    <w:basedOn w:val="1Char0"/>
    <w:link w:val="80"/>
    <w:qFormat/>
    <w:rPr>
      <w:rFonts w:eastAsiaTheme="minorEastAsia"/>
      <w:sz w:val="24"/>
      <w:lang w:eastAsia="zh-CN" w:bidi="ar-SA"/>
    </w:rPr>
  </w:style>
  <w:style w:type="paragraph" w:customStyle="1" w:styleId="100">
    <w:name w:val="样式10"/>
    <w:basedOn w:val="1a"/>
    <w:next w:val="1a"/>
    <w:link w:val="10Char"/>
    <w:qFormat/>
  </w:style>
  <w:style w:type="character" w:customStyle="1" w:styleId="-Char0">
    <w:name w:val="注释-季报 Char"/>
    <w:basedOn w:val="Char5"/>
    <w:link w:val="-0"/>
    <w:qFormat/>
    <w:rPr>
      <w:rFonts w:ascii="Calibri" w:eastAsia="黑体" w:hAnsi="Calibri"/>
      <w:sz w:val="20"/>
      <w:szCs w:val="24"/>
    </w:rPr>
  </w:style>
  <w:style w:type="character" w:customStyle="1" w:styleId="10Char">
    <w:name w:val="样式10 Char"/>
    <w:basedOn w:val="1Char0"/>
    <w:link w:val="100"/>
    <w:qFormat/>
    <w:rPr>
      <w:rFonts w:eastAsiaTheme="minorEastAsia"/>
      <w:sz w:val="24"/>
      <w:lang w:eastAsia="zh-CN" w:bidi="ar-SA"/>
    </w:rPr>
  </w:style>
  <w:style w:type="table" w:customStyle="1" w:styleId="130">
    <w:name w:val="网格型13"/>
    <w:basedOn w:val="a1"/>
    <w:uiPriority w:val="59"/>
    <w:qFormat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  <w:spacing w:after="160" w:line="259" w:lineRule="auto"/>
    </w:pPr>
    <w:rPr>
      <w:rFonts w:ascii="楷体" w:eastAsia="楷体" w:hAnsiTheme="majorHAnsi" w:cs="楷体"/>
      <w:color w:val="000000"/>
      <w:kern w:val="2"/>
      <w:sz w:val="24"/>
      <w:szCs w:val="24"/>
      <w:lang w:eastAsia="en-US"/>
    </w:rPr>
  </w:style>
  <w:style w:type="paragraph" w:customStyle="1" w:styleId="-1">
    <w:name w:val="题注-季度报告"/>
    <w:basedOn w:val="a"/>
    <w:link w:val="-Char1"/>
    <w:qFormat/>
    <w:pPr>
      <w:ind w:firstLineChars="0" w:firstLine="0"/>
      <w:jc w:val="center"/>
    </w:pPr>
    <w:rPr>
      <w:rFonts w:eastAsia="华文细黑" w:cs="Times New Roman"/>
      <w:bCs/>
      <w:sz w:val="21"/>
      <w:szCs w:val="18"/>
      <w:lang w:eastAsia="zh-CN"/>
    </w:rPr>
  </w:style>
  <w:style w:type="character" w:customStyle="1" w:styleId="Char">
    <w:name w:val="批注文字 Char"/>
    <w:basedOn w:val="a0"/>
    <w:link w:val="a5"/>
    <w:uiPriority w:val="99"/>
    <w:qFormat/>
    <w:rPr>
      <w:rFonts w:eastAsiaTheme="minorEastAsia"/>
      <w:sz w:val="24"/>
    </w:rPr>
  </w:style>
  <w:style w:type="character" w:customStyle="1" w:styleId="Char9">
    <w:name w:val="批注主题 Char"/>
    <w:basedOn w:val="Char"/>
    <w:link w:val="af1"/>
    <w:uiPriority w:val="99"/>
    <w:semiHidden/>
    <w:qFormat/>
    <w:rPr>
      <w:rFonts w:eastAsiaTheme="minorEastAsia"/>
      <w:b/>
      <w:bCs/>
      <w:sz w:val="24"/>
    </w:rPr>
  </w:style>
  <w:style w:type="paragraph" w:customStyle="1" w:styleId="-2">
    <w:name w:val="文中标题-季度报告"/>
    <w:basedOn w:val="a"/>
    <w:link w:val="-Char2"/>
    <w:qFormat/>
    <w:pPr>
      <w:spacing w:beforeLines="50"/>
      <w:ind w:firstLineChars="0" w:firstLine="0"/>
    </w:pPr>
    <w:rPr>
      <w:rFonts w:asciiTheme="minorHAnsi" w:hAnsiTheme="minorHAnsi" w:cs="Times New Roman"/>
      <w:b/>
      <w:sz w:val="28"/>
      <w:szCs w:val="28"/>
      <w:lang w:eastAsia="zh-CN" w:bidi="ar-SA"/>
    </w:rPr>
  </w:style>
  <w:style w:type="character" w:customStyle="1" w:styleId="-Char2">
    <w:name w:val="文中标题-季度报告 Char"/>
    <w:basedOn w:val="a0"/>
    <w:link w:val="-2"/>
    <w:qFormat/>
    <w:rPr>
      <w:rFonts w:asciiTheme="minorHAnsi" w:eastAsiaTheme="minorEastAsia" w:hAnsiTheme="minorHAnsi" w:cs="Times New Roman"/>
      <w:b/>
      <w:kern w:val="2"/>
      <w:sz w:val="28"/>
      <w:szCs w:val="28"/>
      <w:lang w:eastAsia="zh-CN" w:bidi="ar-SA"/>
    </w:rPr>
  </w:style>
  <w:style w:type="character" w:customStyle="1" w:styleId="-Char1">
    <w:name w:val="题注-季度报告 Char"/>
    <w:basedOn w:val="a0"/>
    <w:link w:val="-1"/>
    <w:qFormat/>
    <w:rPr>
      <w:rFonts w:ascii="Calibri" w:eastAsia="华文细黑" w:hAnsi="Calibri" w:cs="Times New Roman"/>
      <w:bCs/>
      <w:sz w:val="21"/>
      <w:szCs w:val="18"/>
      <w:lang w:eastAsia="zh-CN"/>
    </w:rPr>
  </w:style>
  <w:style w:type="paragraph" w:customStyle="1" w:styleId="aff0">
    <w:name w:val="专栏标题"/>
    <w:basedOn w:val="a"/>
    <w:link w:val="Chara"/>
    <w:qFormat/>
    <w:pPr>
      <w:widowControl w:val="0"/>
      <w:spacing w:line="312" w:lineRule="auto"/>
      <w:ind w:firstLineChars="0" w:firstLine="0"/>
      <w:jc w:val="center"/>
    </w:pPr>
    <w:rPr>
      <w:rFonts w:ascii="华文细黑" w:eastAsia="华文细黑" w:hAnsi="华文细黑" w:cs="Times New Roman"/>
      <w:b/>
      <w:szCs w:val="24"/>
      <w:lang w:eastAsia="zh-CN" w:bidi="ar-SA"/>
    </w:rPr>
  </w:style>
  <w:style w:type="paragraph" w:customStyle="1" w:styleId="-3">
    <w:name w:val="专栏正文-季度报告"/>
    <w:basedOn w:val="a"/>
    <w:link w:val="-Char3"/>
    <w:qFormat/>
    <w:pPr>
      <w:widowControl w:val="0"/>
    </w:pPr>
    <w:rPr>
      <w:rFonts w:ascii="华文细黑" w:eastAsia="华文细黑" w:hAnsi="华文细黑" w:cs="Times New Roman"/>
      <w:sz w:val="21"/>
      <w:szCs w:val="21"/>
      <w:lang w:eastAsia="zh-CN" w:bidi="ar-SA"/>
    </w:rPr>
  </w:style>
  <w:style w:type="character" w:customStyle="1" w:styleId="Chara">
    <w:name w:val="专栏标题 Char"/>
    <w:basedOn w:val="a0"/>
    <w:link w:val="aff0"/>
    <w:qFormat/>
    <w:rPr>
      <w:rFonts w:ascii="华文细黑" w:eastAsia="华文细黑" w:hAnsi="华文细黑" w:cs="Times New Roman"/>
      <w:b/>
      <w:kern w:val="2"/>
      <w:sz w:val="24"/>
      <w:szCs w:val="24"/>
      <w:lang w:eastAsia="zh-CN" w:bidi="ar-SA"/>
    </w:rPr>
  </w:style>
  <w:style w:type="character" w:customStyle="1" w:styleId="-Char3">
    <w:name w:val="专栏正文-季度报告 Char"/>
    <w:basedOn w:val="a0"/>
    <w:link w:val="-3"/>
    <w:qFormat/>
    <w:rPr>
      <w:rFonts w:ascii="华文细黑" w:eastAsia="华文细黑" w:hAnsi="华文细黑" w:cs="Times New Roman"/>
      <w:kern w:val="2"/>
      <w:sz w:val="21"/>
      <w:szCs w:val="21"/>
      <w:lang w:eastAsia="zh-CN" w:bidi="ar-SA"/>
    </w:rPr>
  </w:style>
  <w:style w:type="table" w:customStyle="1" w:styleId="40">
    <w:name w:val="网格型4"/>
    <w:basedOn w:val="a1"/>
    <w:uiPriority w:val="59"/>
    <w:qFormat/>
    <w:rPr>
      <w:rFonts w:asciiTheme="minorHAnsi" w:eastAsiaTheme="minorEastAsia" w:hAnsi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">
    <w:name w:val="修订1"/>
    <w:hidden/>
    <w:uiPriority w:val="99"/>
    <w:semiHidden/>
    <w:qFormat/>
    <w:pPr>
      <w:spacing w:after="160" w:line="259" w:lineRule="auto"/>
    </w:pPr>
    <w:rPr>
      <w:rFonts w:ascii="Calibri" w:eastAsiaTheme="minorEastAsia" w:hAnsi="Calibri" w:cstheme="majorBidi"/>
      <w:kern w:val="2"/>
      <w:sz w:val="24"/>
      <w:szCs w:val="22"/>
      <w:lang w:eastAsia="en-US" w:bidi="en-US"/>
    </w:rPr>
  </w:style>
  <w:style w:type="character" w:customStyle="1" w:styleId="11Char">
    <w:name w:val="样式11 Char"/>
    <w:basedOn w:val="a0"/>
    <w:link w:val="110"/>
    <w:qFormat/>
    <w:locked/>
    <w:rPr>
      <w:rFonts w:ascii="楷体" w:eastAsia="楷体" w:hAnsi="楷体"/>
      <w:color w:val="000000"/>
      <w:sz w:val="24"/>
      <w:szCs w:val="24"/>
    </w:rPr>
  </w:style>
  <w:style w:type="paragraph" w:customStyle="1" w:styleId="110">
    <w:name w:val="样式11"/>
    <w:basedOn w:val="a"/>
    <w:link w:val="11Char"/>
    <w:qFormat/>
    <w:pPr>
      <w:widowControl w:val="0"/>
      <w:autoSpaceDE w:val="0"/>
      <w:autoSpaceDN w:val="0"/>
      <w:adjustRightInd w:val="0"/>
      <w:ind w:firstLine="480"/>
    </w:pPr>
    <w:rPr>
      <w:rFonts w:ascii="楷体" w:eastAsia="楷体" w:hAnsi="楷体"/>
      <w:color w:val="000000"/>
      <w:szCs w:val="24"/>
    </w:rPr>
  </w:style>
  <w:style w:type="paragraph" w:customStyle="1" w:styleId="para">
    <w:name w:val="para"/>
    <w:basedOn w:val="a"/>
    <w:qFormat/>
    <w:pPr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szCs w:val="24"/>
      <w:lang w:eastAsia="zh-CN" w:bidi="ar-SA"/>
    </w:rPr>
  </w:style>
  <w:style w:type="character" w:customStyle="1" w:styleId="Char2">
    <w:name w:val="尾注文本 Char"/>
    <w:basedOn w:val="a0"/>
    <w:link w:val="a8"/>
    <w:uiPriority w:val="99"/>
    <w:semiHidden/>
    <w:qFormat/>
    <w:rPr>
      <w:rFonts w:ascii="Calibri" w:eastAsiaTheme="minorEastAsia" w:hAnsi="Calibri"/>
      <w:sz w:val="24"/>
    </w:rPr>
  </w:style>
  <w:style w:type="character" w:customStyle="1" w:styleId="HTMLChar">
    <w:name w:val="HTML 预设格式 Char"/>
    <w:basedOn w:val="a0"/>
    <w:link w:val="HTML"/>
    <w:uiPriority w:val="99"/>
    <w:qFormat/>
    <w:rPr>
      <w:rFonts w:ascii="宋体" w:eastAsia="宋体" w:hAnsi="宋体" w:cs="宋体"/>
      <w:kern w:val="0"/>
      <w:sz w:val="24"/>
      <w:szCs w:val="24"/>
      <w:lang w:eastAsia="zh-CN" w:bidi="ar-SA"/>
    </w:rPr>
  </w:style>
  <w:style w:type="paragraph" w:customStyle="1" w:styleId="23">
    <w:name w:val="修订2"/>
    <w:hidden/>
    <w:uiPriority w:val="99"/>
    <w:semiHidden/>
    <w:qFormat/>
    <w:pPr>
      <w:spacing w:after="160" w:line="259" w:lineRule="auto"/>
    </w:pPr>
    <w:rPr>
      <w:rFonts w:ascii="Calibri" w:eastAsiaTheme="minorEastAsia" w:hAnsi="Calibri" w:cstheme="majorBidi"/>
      <w:kern w:val="2"/>
      <w:sz w:val="24"/>
      <w:szCs w:val="22"/>
      <w:lang w:eastAsia="en-US" w:bidi="en-US"/>
    </w:rPr>
  </w:style>
  <w:style w:type="character" w:customStyle="1" w:styleId="1d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33">
    <w:name w:val="修订3"/>
    <w:hidden/>
    <w:uiPriority w:val="99"/>
    <w:semiHidden/>
    <w:qFormat/>
    <w:pPr>
      <w:spacing w:after="160" w:line="259" w:lineRule="auto"/>
    </w:pPr>
    <w:rPr>
      <w:rFonts w:ascii="Calibri" w:eastAsiaTheme="minorEastAsia" w:hAnsi="Calibri" w:cstheme="majorBidi"/>
      <w:kern w:val="2"/>
      <w:sz w:val="24"/>
      <w:szCs w:val="22"/>
      <w:lang w:eastAsia="en-US" w:bidi="en-US"/>
    </w:rPr>
  </w:style>
  <w:style w:type="paragraph" w:customStyle="1" w:styleId="41">
    <w:name w:val="修订4"/>
    <w:hidden/>
    <w:uiPriority w:val="99"/>
    <w:semiHidden/>
    <w:qFormat/>
    <w:pPr>
      <w:spacing w:after="160" w:line="259" w:lineRule="auto"/>
    </w:pPr>
    <w:rPr>
      <w:rFonts w:ascii="Calibri" w:eastAsiaTheme="minorEastAsia" w:hAnsi="Calibri" w:cstheme="majorBidi"/>
      <w:kern w:val="2"/>
      <w:sz w:val="24"/>
      <w:szCs w:val="22"/>
      <w:lang w:eastAsia="en-US" w:bidi="en-US"/>
    </w:rPr>
  </w:style>
  <w:style w:type="paragraph" w:customStyle="1" w:styleId="p1">
    <w:name w:val="p1"/>
    <w:basedOn w:val="a"/>
    <w:qFormat/>
    <w:pPr>
      <w:spacing w:after="0" w:line="380" w:lineRule="atLeast"/>
      <w:jc w:val="left"/>
    </w:pPr>
    <w:rPr>
      <w:rFonts w:ascii="Helvetica Neue" w:eastAsia="Helvetica Neue" w:hAnsi="Helvetica Neue" w:cs="Times New Roman"/>
      <w:color w:val="000000"/>
      <w:kern w:val="0"/>
      <w:sz w:val="26"/>
      <w:szCs w:val="26"/>
      <w:lang w:eastAsia="zh-CN" w:bidi="ar-SA"/>
    </w:rPr>
  </w:style>
  <w:style w:type="paragraph" w:customStyle="1" w:styleId="51">
    <w:name w:val="修订5"/>
    <w:hidden/>
    <w:uiPriority w:val="99"/>
    <w:semiHidden/>
    <w:qFormat/>
    <w:rPr>
      <w:rFonts w:ascii="Calibri" w:eastAsiaTheme="minorEastAsia" w:hAnsi="Calibri" w:cstheme="majorBidi"/>
      <w:kern w:val="2"/>
      <w:sz w:val="24"/>
      <w:szCs w:val="22"/>
      <w:lang w:eastAsia="en-US" w:bidi="en-US"/>
    </w:rPr>
  </w:style>
  <w:style w:type="paragraph" w:styleId="aff1">
    <w:name w:val="List Paragraph"/>
    <w:basedOn w:val="a"/>
    <w:uiPriority w:val="99"/>
    <w:qFormat/>
    <w:pPr>
      <w:ind w:firstLine="420"/>
    </w:pPr>
  </w:style>
  <w:style w:type="paragraph" w:customStyle="1" w:styleId="61">
    <w:name w:val="修订6"/>
    <w:hidden/>
    <w:uiPriority w:val="99"/>
    <w:semiHidden/>
    <w:qFormat/>
    <w:rPr>
      <w:rFonts w:ascii="Calibri" w:eastAsiaTheme="minorEastAsia" w:hAnsi="Calibri" w:cstheme="majorBidi"/>
      <w:kern w:val="2"/>
      <w:sz w:val="24"/>
      <w:szCs w:val="22"/>
      <w:lang w:eastAsia="en-US" w:bidi="en-US"/>
    </w:rPr>
  </w:style>
  <w:style w:type="paragraph" w:customStyle="1" w:styleId="71">
    <w:name w:val="修订7"/>
    <w:hidden/>
    <w:uiPriority w:val="99"/>
    <w:unhideWhenUsed/>
    <w:qFormat/>
    <w:rPr>
      <w:rFonts w:ascii="Calibri" w:eastAsiaTheme="minorEastAsia" w:hAnsi="Calibri" w:cstheme="majorBidi"/>
      <w:kern w:val="2"/>
      <w:sz w:val="24"/>
      <w:szCs w:val="22"/>
      <w:lang w:eastAsia="en-US" w:bidi="en-US"/>
    </w:rPr>
  </w:style>
  <w:style w:type="paragraph" w:customStyle="1" w:styleId="81">
    <w:name w:val="修订8"/>
    <w:hidden/>
    <w:uiPriority w:val="99"/>
    <w:unhideWhenUsed/>
    <w:qFormat/>
    <w:rPr>
      <w:rFonts w:ascii="Calibri" w:eastAsiaTheme="minorEastAsia" w:hAnsi="Calibri" w:cstheme="majorBidi"/>
      <w:kern w:val="2"/>
      <w:sz w:val="24"/>
      <w:szCs w:val="22"/>
      <w:lang w:eastAsia="en-US" w:bidi="en-US"/>
    </w:rPr>
  </w:style>
  <w:style w:type="paragraph" w:styleId="aff2">
    <w:name w:val="Revision"/>
    <w:hidden/>
    <w:uiPriority w:val="99"/>
    <w:unhideWhenUsed/>
    <w:rsid w:val="00C777D5"/>
    <w:rPr>
      <w:rFonts w:ascii="Calibri" w:eastAsiaTheme="minorEastAsia" w:hAnsi="Calibri" w:cstheme="majorBidi"/>
      <w:kern w:val="2"/>
      <w:sz w:val="24"/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hart" Target="charts/chart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hyperlink" Target="mailto:iwepceem@163.com" TargetMode="External"/><Relationship Id="rId19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___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D:\Users\19812\Desktop\&#21103;&#26412;f3%20&#22823;&#23447;&#21830;&#21697;&#20215;&#26684;&#65288;&#26356;&#26032;&#21040;2206&#65289;.xls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800" b="0" i="0" u="none" strike="noStrike" kern="1200" baseline="0">
                <a:solidFill>
                  <a:srgbClr val="000000"/>
                </a:solidFill>
                <a:latin typeface="楷体" panose="02010609060101010101" pitchFamily="3" charset="-122"/>
                <a:ea typeface="楷体" panose="02010609060101010101" pitchFamily="3" charset="-122"/>
                <a:cs typeface="楷体" panose="02010609060101010101" pitchFamily="3" charset="-122"/>
              </a:defRPr>
            </a:pPr>
            <a:r>
              <a:rPr lang="zh-CN" altLang="en-US" sz="800" b="0" i="0" u="none" strike="noStrike" baseline="0">
                <a:solidFill>
                  <a:srgbClr val="000000"/>
                </a:solidFill>
                <a:latin typeface="楷体" panose="02010609060101010101" pitchFamily="3" charset="-122"/>
                <a:ea typeface="楷体" panose="02010609060101010101" pitchFamily="3" charset="-122"/>
              </a:rPr>
              <a:t>数据来源：</a:t>
            </a:r>
            <a:r>
              <a:rPr lang="zh-CN" altLang="en-US" sz="800" b="0" i="0" u="none" strike="noStrike" baseline="0">
                <a:solidFill>
                  <a:srgbClr val="000000"/>
                </a:solidFill>
                <a:latin typeface="Cambria" panose="02040503050406030204"/>
                <a:ea typeface="楷体" panose="02010609060101010101" pitchFamily="3" charset="-122"/>
              </a:rPr>
              <a:t>CEIC</a:t>
            </a:r>
            <a:r>
              <a:rPr lang="zh-CN" altLang="en-US" sz="800" b="0" i="0" u="none" strike="noStrike" baseline="0">
                <a:solidFill>
                  <a:srgbClr val="000000"/>
                </a:solidFill>
                <a:latin typeface="楷体" panose="02010609060101010101" pitchFamily="3" charset="-122"/>
                <a:ea typeface="楷体" panose="02010609060101010101" pitchFamily="3" charset="-122"/>
              </a:rPr>
              <a:t>，世界经济预测与政策模拟实验室。</a:t>
            </a:r>
            <a:r>
              <a:rPr lang="zh-CN" altLang="en-US" sz="800" b="0" i="0" u="none" strike="noStrike" baseline="0">
                <a:solidFill>
                  <a:srgbClr val="000000"/>
                </a:solidFill>
                <a:latin typeface="Cambria" panose="02040503050406030204"/>
                <a:ea typeface="楷体" panose="02010609060101010101" pitchFamily="3" charset="-122"/>
              </a:rPr>
              <a:t> </a:t>
            </a:r>
            <a:endParaRPr lang="zh-CN" altLang="en-US"/>
          </a:p>
        </c:rich>
      </c:tx>
      <c:layout>
        <c:manualLayout>
          <c:xMode val="edge"/>
          <c:yMode val="edge"/>
          <c:x val="2.9861767279090101E-3"/>
          <c:y val="0.92555553525646905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3439553848313499E-2"/>
          <c:y val="4.0278763662004897E-2"/>
          <c:w val="0.89024207018111001"/>
          <c:h val="0.73137007874015703"/>
        </c:manualLayout>
      </c:layout>
      <c:lineChart>
        <c:grouping val="standard"/>
        <c:varyColors val="0"/>
        <c:ser>
          <c:idx val="0"/>
          <c:order val="0"/>
          <c:tx>
            <c:strRef>
              <c:f>图2!$C$1</c:f>
              <c:strCache>
                <c:ptCount val="1"/>
                <c:pt idx="0">
                  <c:v>CEEM_PMI</c:v>
                </c:pt>
              </c:strCache>
            </c:strRef>
          </c:tx>
          <c:spPr>
            <a:ln w="25400" cap="rnd" cmpd="sng" algn="ctr">
              <a:solidFill>
                <a:srgbClr val="106D9C"/>
              </a:solidFill>
              <a:prstDash val="solid"/>
              <a:round/>
            </a:ln>
            <a:effectLst/>
          </c:spPr>
          <c:marker>
            <c:symbol val="none"/>
          </c:marker>
          <c:trendline>
            <c:spPr>
              <a:ln w="12700" cap="rnd" cmpd="sng" algn="ctr">
                <a:solidFill>
                  <a:srgbClr val="74A3BA"/>
                </a:solidFill>
                <a:prstDash val="dash"/>
                <a:round/>
              </a:ln>
            </c:spPr>
            <c:trendlineType val="movingAvg"/>
            <c:period val="6"/>
            <c:dispRSqr val="0"/>
            <c:dispEq val="0"/>
          </c:trendline>
          <c:cat>
            <c:strRef>
              <c:f>图2!$A$28:$A$105</c:f>
              <c:strCache>
                <c:ptCount val="78"/>
                <c:pt idx="0">
                  <c:v>3月2019</c:v>
                </c:pt>
                <c:pt idx="1">
                  <c:v>4月</c:v>
                </c:pt>
                <c:pt idx="2">
                  <c:v>5月</c:v>
                </c:pt>
                <c:pt idx="3">
                  <c:v>6月</c:v>
                </c:pt>
                <c:pt idx="4">
                  <c:v>7月</c:v>
                </c:pt>
                <c:pt idx="5">
                  <c:v>8月</c:v>
                </c:pt>
                <c:pt idx="6">
                  <c:v>9月</c:v>
                </c:pt>
                <c:pt idx="7">
                  <c:v>10月</c:v>
                </c:pt>
                <c:pt idx="8">
                  <c:v>11月</c:v>
                </c:pt>
                <c:pt idx="9">
                  <c:v>12月</c:v>
                </c:pt>
                <c:pt idx="10">
                  <c:v>1月
2020</c:v>
                </c:pt>
                <c:pt idx="11">
                  <c:v>2月</c:v>
                </c:pt>
                <c:pt idx="12">
                  <c:v>3月2020</c:v>
                </c:pt>
                <c:pt idx="13">
                  <c:v>4月</c:v>
                </c:pt>
                <c:pt idx="14">
                  <c:v>5月</c:v>
                </c:pt>
                <c:pt idx="15">
                  <c:v>6月</c:v>
                </c:pt>
                <c:pt idx="16">
                  <c:v>7月</c:v>
                </c:pt>
                <c:pt idx="17">
                  <c:v>8月</c:v>
                </c:pt>
                <c:pt idx="18">
                  <c:v>9月</c:v>
                </c:pt>
                <c:pt idx="19">
                  <c:v>10月</c:v>
                </c:pt>
                <c:pt idx="20">
                  <c:v>11月</c:v>
                </c:pt>
                <c:pt idx="21">
                  <c:v>12月</c:v>
                </c:pt>
                <c:pt idx="22">
                  <c:v>1月
2021</c:v>
                </c:pt>
                <c:pt idx="23">
                  <c:v>2月</c:v>
                </c:pt>
                <c:pt idx="24">
                  <c:v>3月2021</c:v>
                </c:pt>
                <c:pt idx="25">
                  <c:v>4月</c:v>
                </c:pt>
                <c:pt idx="26">
                  <c:v>5月</c:v>
                </c:pt>
                <c:pt idx="27">
                  <c:v>6月</c:v>
                </c:pt>
                <c:pt idx="28">
                  <c:v>7月</c:v>
                </c:pt>
                <c:pt idx="29">
                  <c:v>8月</c:v>
                </c:pt>
                <c:pt idx="30">
                  <c:v>9月</c:v>
                </c:pt>
                <c:pt idx="31">
                  <c:v>10月</c:v>
                </c:pt>
                <c:pt idx="32">
                  <c:v>11月</c:v>
                </c:pt>
                <c:pt idx="33">
                  <c:v>12月</c:v>
                </c:pt>
                <c:pt idx="34">
                  <c:v>1月
2022</c:v>
                </c:pt>
                <c:pt idx="35">
                  <c:v>2月</c:v>
                </c:pt>
                <c:pt idx="36">
                  <c:v>3月2022</c:v>
                </c:pt>
                <c:pt idx="37">
                  <c:v>4月</c:v>
                </c:pt>
                <c:pt idx="38">
                  <c:v>5月</c:v>
                </c:pt>
                <c:pt idx="39">
                  <c:v>6月</c:v>
                </c:pt>
                <c:pt idx="40">
                  <c:v>7月</c:v>
                </c:pt>
                <c:pt idx="41">
                  <c:v>8月</c:v>
                </c:pt>
                <c:pt idx="42">
                  <c:v>9月</c:v>
                </c:pt>
                <c:pt idx="43">
                  <c:v>10月</c:v>
                </c:pt>
                <c:pt idx="44">
                  <c:v>11月</c:v>
                </c:pt>
                <c:pt idx="45">
                  <c:v>12月</c:v>
                </c:pt>
                <c:pt idx="46">
                  <c:v>1月
2023</c:v>
                </c:pt>
                <c:pt idx="47">
                  <c:v>2月</c:v>
                </c:pt>
                <c:pt idx="48">
                  <c:v>3月2023</c:v>
                </c:pt>
                <c:pt idx="49">
                  <c:v>4月</c:v>
                </c:pt>
                <c:pt idx="50">
                  <c:v>5月</c:v>
                </c:pt>
                <c:pt idx="51">
                  <c:v>6月</c:v>
                </c:pt>
                <c:pt idx="52">
                  <c:v>7月</c:v>
                </c:pt>
                <c:pt idx="53">
                  <c:v>8月</c:v>
                </c:pt>
                <c:pt idx="54">
                  <c:v>9月</c:v>
                </c:pt>
                <c:pt idx="55">
                  <c:v>10月</c:v>
                </c:pt>
                <c:pt idx="56">
                  <c:v>11月</c:v>
                </c:pt>
                <c:pt idx="57">
                  <c:v>12月</c:v>
                </c:pt>
                <c:pt idx="58">
                  <c:v>1月
2024</c:v>
                </c:pt>
                <c:pt idx="59">
                  <c:v>2月</c:v>
                </c:pt>
                <c:pt idx="60">
                  <c:v>3月2024</c:v>
                </c:pt>
                <c:pt idx="61">
                  <c:v>4月</c:v>
                </c:pt>
                <c:pt idx="62">
                  <c:v>5月</c:v>
                </c:pt>
                <c:pt idx="63">
                  <c:v>6月</c:v>
                </c:pt>
                <c:pt idx="64">
                  <c:v>7月</c:v>
                </c:pt>
                <c:pt idx="65">
                  <c:v>8月</c:v>
                </c:pt>
                <c:pt idx="66">
                  <c:v>9月</c:v>
                </c:pt>
                <c:pt idx="67">
                  <c:v>10月</c:v>
                </c:pt>
                <c:pt idx="68">
                  <c:v>11月</c:v>
                </c:pt>
                <c:pt idx="69">
                  <c:v>12月</c:v>
                </c:pt>
                <c:pt idx="70">
                  <c:v>1月
2025</c:v>
                </c:pt>
                <c:pt idx="71">
                  <c:v>2月</c:v>
                </c:pt>
                <c:pt idx="72">
                  <c:v>3月2025</c:v>
                </c:pt>
                <c:pt idx="73">
                  <c:v>4月</c:v>
                </c:pt>
                <c:pt idx="74">
                  <c:v>5月</c:v>
                </c:pt>
                <c:pt idx="75">
                  <c:v>6月</c:v>
                </c:pt>
                <c:pt idx="76">
                  <c:v>7月</c:v>
                </c:pt>
                <c:pt idx="77">
                  <c:v>8月</c:v>
                </c:pt>
              </c:strCache>
            </c:strRef>
          </c:cat>
          <c:val>
            <c:numRef>
              <c:f>图2!$C$28:$C$100</c:f>
              <c:numCache>
                <c:formatCode>0.0</c:formatCode>
                <c:ptCount val="73"/>
                <c:pt idx="0">
                  <c:v>50.885482000000003</c:v>
                </c:pt>
                <c:pt idx="1">
                  <c:v>50.627609999999997</c:v>
                </c:pt>
                <c:pt idx="2">
                  <c:v>50.069356999999997</c:v>
                </c:pt>
                <c:pt idx="3">
                  <c:v>49.434108000000002</c:v>
                </c:pt>
                <c:pt idx="4">
                  <c:v>49.119087999999998</c:v>
                </c:pt>
                <c:pt idx="5">
                  <c:v>48.669530999999999</c:v>
                </c:pt>
                <c:pt idx="6">
                  <c:v>48.306691000000001</c:v>
                </c:pt>
                <c:pt idx="7">
                  <c:v>48.171925999999999</c:v>
                </c:pt>
                <c:pt idx="8">
                  <c:v>48.560105</c:v>
                </c:pt>
                <c:pt idx="9">
                  <c:v>48.563474999999997</c:v>
                </c:pt>
                <c:pt idx="10">
                  <c:v>49.948062999999998</c:v>
                </c:pt>
                <c:pt idx="11">
                  <c:v>49.998192000000003</c:v>
                </c:pt>
                <c:pt idx="12">
                  <c:v>46.239347000000002</c:v>
                </c:pt>
                <c:pt idx="13">
                  <c:v>35.782415999999998</c:v>
                </c:pt>
                <c:pt idx="14">
                  <c:v>39.130383999999999</c:v>
                </c:pt>
                <c:pt idx="15">
                  <c:v>47.301214999999999</c:v>
                </c:pt>
                <c:pt idx="16">
                  <c:v>50.195895999999998</c:v>
                </c:pt>
                <c:pt idx="17">
                  <c:v>51.887725000000003</c:v>
                </c:pt>
                <c:pt idx="18">
                  <c:v>52.510505000000002</c:v>
                </c:pt>
                <c:pt idx="19">
                  <c:v>53.672671999999999</c:v>
                </c:pt>
                <c:pt idx="20">
                  <c:v>53.518324999999997</c:v>
                </c:pt>
                <c:pt idx="21">
                  <c:v>54.957596000000002</c:v>
                </c:pt>
                <c:pt idx="22">
                  <c:v>54.724139000000001</c:v>
                </c:pt>
                <c:pt idx="23">
                  <c:v>55.547131999999998</c:v>
                </c:pt>
                <c:pt idx="24">
                  <c:v>57.280484999999999</c:v>
                </c:pt>
                <c:pt idx="25">
                  <c:v>57.116495</c:v>
                </c:pt>
                <c:pt idx="26">
                  <c:v>57.292867000000001</c:v>
                </c:pt>
                <c:pt idx="27">
                  <c:v>56.199039999999997</c:v>
                </c:pt>
                <c:pt idx="28">
                  <c:v>55.064394</c:v>
                </c:pt>
                <c:pt idx="29">
                  <c:v>54.175916999999998</c:v>
                </c:pt>
                <c:pt idx="30">
                  <c:v>55.107013000000002</c:v>
                </c:pt>
                <c:pt idx="31">
                  <c:v>56.033273000000001</c:v>
                </c:pt>
                <c:pt idx="32">
                  <c:v>55.98621</c:v>
                </c:pt>
                <c:pt idx="33" formatCode="General">
                  <c:v>55.504939999999998</c:v>
                </c:pt>
                <c:pt idx="34" formatCode="General">
                  <c:v>55.276429999999998</c:v>
                </c:pt>
                <c:pt idx="35" formatCode="General">
                  <c:v>55.219687999999998</c:v>
                </c:pt>
                <c:pt idx="36" formatCode="General">
                  <c:v>54.112901000000001</c:v>
                </c:pt>
                <c:pt idx="37" formatCode="General">
                  <c:v>53.940396</c:v>
                </c:pt>
                <c:pt idx="38" formatCode="General">
                  <c:v>53.681074000000002</c:v>
                </c:pt>
                <c:pt idx="39" formatCode="General">
                  <c:v>52.401878000000004</c:v>
                </c:pt>
                <c:pt idx="40" formatCode="General">
                  <c:v>51.572662000000001</c:v>
                </c:pt>
                <c:pt idx="41" formatCode="General">
                  <c:v>51.068244</c:v>
                </c:pt>
                <c:pt idx="42" formatCode="General">
                  <c:v>50.608553000000001</c:v>
                </c:pt>
                <c:pt idx="43" formatCode="General">
                  <c:v>49.482123999999999</c:v>
                </c:pt>
                <c:pt idx="44" formatCode="General">
                  <c:v>49.044879000000002</c:v>
                </c:pt>
                <c:pt idx="45" formatCode="General">
                  <c:v>48.991318999999997</c:v>
                </c:pt>
                <c:pt idx="46" formatCode="General">
                  <c:v>49.279628000000002</c:v>
                </c:pt>
                <c:pt idx="47" formatCode="General">
                  <c:v>49.629542999999998</c:v>
                </c:pt>
                <c:pt idx="48" formatCode="General">
                  <c:v>48.931835999999997</c:v>
                </c:pt>
                <c:pt idx="49" formatCode="General">
                  <c:v>49.026296000000002</c:v>
                </c:pt>
                <c:pt idx="50" formatCode="General">
                  <c:v>48.577759999999998</c:v>
                </c:pt>
                <c:pt idx="51" formatCode="General">
                  <c:v>48.037002000000001</c:v>
                </c:pt>
                <c:pt idx="52" formatCode="General">
                  <c:v>48.008130000000001</c:v>
                </c:pt>
                <c:pt idx="53" formatCode="General">
                  <c:v>48.450600000000001</c:v>
                </c:pt>
                <c:pt idx="54" formatCode="General">
                  <c:v>48.407192000000002</c:v>
                </c:pt>
                <c:pt idx="55" formatCode="General">
                  <c:v>47.933909</c:v>
                </c:pt>
                <c:pt idx="56" formatCode="General">
                  <c:v>48.249437999999998</c:v>
                </c:pt>
                <c:pt idx="57" formatCode="General">
                  <c:v>48.016209000000003</c:v>
                </c:pt>
                <c:pt idx="58" formatCode="General">
                  <c:v>49.389364</c:v>
                </c:pt>
                <c:pt idx="59" formatCode="General">
                  <c:v>49.191682999999998</c:v>
                </c:pt>
                <c:pt idx="60" formatCode="General">
                  <c:v>50.050702000000001</c:v>
                </c:pt>
                <c:pt idx="61" formatCode="General">
                  <c:v>49.737015999999997</c:v>
                </c:pt>
                <c:pt idx="62" formatCode="General">
                  <c:v>50.245944000000001</c:v>
                </c:pt>
                <c:pt idx="63" formatCode="General">
                  <c:v>49.921768</c:v>
                </c:pt>
                <c:pt idx="64" formatCode="General">
                  <c:v>49.530938999999996</c:v>
                </c:pt>
                <c:pt idx="65" formatCode="General">
                  <c:v>49.499110000000002</c:v>
                </c:pt>
                <c:pt idx="66" formatCode="General">
                  <c:v>48.763402999999997</c:v>
                </c:pt>
                <c:pt idx="67" formatCode="General">
                  <c:v>48.887714000000003</c:v>
                </c:pt>
                <c:pt idx="68" formatCode="General">
                  <c:v>49.289349999999999</c:v>
                </c:pt>
                <c:pt idx="69" formatCode="General">
                  <c:v>49.217989000000003</c:v>
                </c:pt>
                <c:pt idx="70" formatCode="General">
                  <c:v>49.999366999999999</c:v>
                </c:pt>
                <c:pt idx="71" formatCode="General">
                  <c:v>50.117708999999998</c:v>
                </c:pt>
                <c:pt idx="72" formatCode="General">
                  <c:v>49.639637999999998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C5A-4CB7-A9BF-1CFC500A49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9350016"/>
        <c:axId val="229360000"/>
      </c:lineChart>
      <c:dateAx>
        <c:axId val="229350016"/>
        <c:scaling>
          <c:orientation val="minMax"/>
        </c:scaling>
        <c:delete val="0"/>
        <c:axPos val="b"/>
        <c:numFmt formatCode="mm&quot;月&quot;;@" sourceLinked="0"/>
        <c:majorTickMark val="out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prstDash val="solid"/>
            <a:round/>
          </a:ln>
          <a:effectLst/>
        </c:spPr>
        <c:txPr>
          <a:bodyPr rot="0" spcFirstLastPara="0" vertOverflow="ellipsis" vert="horz" wrap="square" anchor="ctr" anchorCtr="1" forceAA="0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楷体" panose="02010609060101010101" pitchFamily="3" charset="-122"/>
                <a:ea typeface="楷体" panose="02010609060101010101" pitchFamily="3" charset="-122"/>
                <a:cs typeface="楷体" panose="02010609060101010101" pitchFamily="3" charset="-122"/>
              </a:defRPr>
            </a:pPr>
            <a:endParaRPr lang="zh-CN"/>
          </a:p>
        </c:txPr>
        <c:crossAx val="229360000"/>
        <c:crosses val="autoZero"/>
        <c:auto val="0"/>
        <c:lblOffset val="100"/>
        <c:baseTimeUnit val="days"/>
      </c:dateAx>
      <c:valAx>
        <c:axId val="229360000"/>
        <c:scaling>
          <c:orientation val="minMax"/>
          <c:min val="36"/>
        </c:scaling>
        <c:delete val="0"/>
        <c:axPos val="l"/>
        <c:title>
          <c:tx>
            <c:rich>
              <a:bodyPr rot="0" spcFirstLastPara="0" vertOverflow="ellipsis" vert="wordArtVertRtl" wrap="square" anchor="ctr" anchorCtr="1"/>
              <a:lstStyle/>
              <a:p>
                <a:pPr algn="ctr">
                  <a:defRPr lang="zh-CN" sz="900" b="0" i="0" u="none" strike="noStrike" kern="1200" baseline="0">
                    <a:solidFill>
                      <a:srgbClr val="000000"/>
                    </a:solidFill>
                    <a:latin typeface="Cambria Math" panose="02040503050406030204"/>
                    <a:ea typeface="Cambria Math" panose="02040503050406030204"/>
                    <a:cs typeface="Cambria Math" panose="02040503050406030204"/>
                  </a:defRPr>
                </a:pPr>
                <a:r>
                  <a:rPr lang="en-US" altLang="zh-CN"/>
                  <a:t>%</a:t>
                </a:r>
              </a:p>
            </c:rich>
          </c:tx>
          <c:layout>
            <c:manualLayout>
              <c:xMode val="edge"/>
              <c:yMode val="edge"/>
              <c:x val="8.2990959463400404E-2"/>
              <c:y val="3.4587207921515598E-3"/>
            </c:manualLayout>
          </c:layout>
          <c:overlay val="0"/>
        </c:title>
        <c:numFmt formatCode="#,##0_);[Red]\(#,##0\)" sourceLinked="0"/>
        <c:majorTickMark val="out"/>
        <c:minorTickMark val="none"/>
        <c:tickLblPos val="nextTo"/>
        <c:spPr>
          <a:ln w="9525" cap="flat" cmpd="sng" algn="ctr">
            <a:solidFill>
              <a:schemeClr val="tx1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000000"/>
                </a:solidFill>
                <a:latin typeface="Cambria Math" panose="02040503050406030204"/>
                <a:ea typeface="Cambria Math" panose="02040503050406030204"/>
                <a:cs typeface="Cambria Math" panose="02040503050406030204"/>
              </a:defRPr>
            </a:pPr>
            <a:endParaRPr lang="zh-CN"/>
          </a:p>
        </c:txPr>
        <c:crossAx val="22935001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  <c:extLst xmlns:c16r2="http://schemas.microsoft.com/office/drawing/2015/06/chart">
      <c:ext uri="{0b15fc19-7d7d-44ad-8c2d-2c3a37ce22c3}">
        <chartProps xmlns="https://web.wps.cn/et/2018/main" chartId="{e6e33988-3e0a-4dbc-a437-133d9194c880}"/>
      </c:ext>
    </c:extLst>
  </c:chart>
  <c:spPr>
    <a:solidFill>
      <a:srgbClr val="FFFFFF"/>
    </a:solidFill>
    <a:ln w="6350" cap="flat" cmpd="sng" algn="ctr">
      <a:noFill/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charset="-122"/>
          <a:ea typeface="宋体" panose="02010600030101010101" charset="-122"/>
          <a:cs typeface="宋体" panose="02010600030101010101" charset="-122"/>
        </a:defRPr>
      </a:pPr>
      <a:endParaRPr lang="zh-CN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8757776385218293E-2"/>
          <c:y val="0.127514512328295"/>
          <c:w val="0.89145721506297104"/>
          <c:h val="0.733494444444444"/>
        </c:manualLayout>
      </c:layout>
      <c:lineChart>
        <c:grouping val="standard"/>
        <c:varyColors val="0"/>
        <c:ser>
          <c:idx val="0"/>
          <c:order val="0"/>
          <c:tx>
            <c:strRef>
              <c:f>'[副本f3 大宗商品价格（更新到2206）.xls]CEEM实验指数'!$R$3</c:f>
              <c:strCache>
                <c:ptCount val="1"/>
                <c:pt idx="0">
                  <c:v>CEEM大宗商品价格指数</c:v>
                </c:pt>
              </c:strCache>
            </c:strRef>
          </c:tx>
          <c:spPr>
            <a:ln w="25400" cap="rnd" cmpd="sng" algn="ctr">
              <a:solidFill>
                <a:srgbClr val="106D9C"/>
              </a:solidFill>
              <a:prstDash val="solid"/>
              <a:round/>
            </a:ln>
          </c:spPr>
          <c:marker>
            <c:symbol val="none"/>
          </c:marker>
          <c:cat>
            <c:strRef>
              <c:f>'[副本f3 大宗商品价格（更新到2206）.xls]CEEM实验指数'!$U$114:$U$174</c:f>
              <c:strCache>
                <c:ptCount val="61"/>
                <c:pt idx="0">
                  <c:v>2020-03
</c:v>
                </c:pt>
                <c:pt idx="1">
                  <c:v>2020-04
</c:v>
                </c:pt>
                <c:pt idx="2">
                  <c:v>2020-05
</c:v>
                </c:pt>
                <c:pt idx="3">
                  <c:v>2020-06
</c:v>
                </c:pt>
                <c:pt idx="4">
                  <c:v>2020-07
</c:v>
                </c:pt>
                <c:pt idx="5">
                  <c:v>2020-08
</c:v>
                </c:pt>
                <c:pt idx="6">
                  <c:v>2020-09
</c:v>
                </c:pt>
                <c:pt idx="7">
                  <c:v>2020-10
</c:v>
                </c:pt>
                <c:pt idx="8">
                  <c:v>2020-11
</c:v>
                </c:pt>
                <c:pt idx="9">
                  <c:v>2020-12
</c:v>
                </c:pt>
                <c:pt idx="10">
                  <c:v>2021-01
</c:v>
                </c:pt>
                <c:pt idx="11">
                  <c:v>2021-02
</c:v>
                </c:pt>
                <c:pt idx="12">
                  <c:v>2021-03
</c:v>
                </c:pt>
                <c:pt idx="13">
                  <c:v>2021-04
</c:v>
                </c:pt>
                <c:pt idx="14">
                  <c:v>2021-05
</c:v>
                </c:pt>
                <c:pt idx="15">
                  <c:v>2021-06
</c:v>
                </c:pt>
                <c:pt idx="16">
                  <c:v>2021-07
</c:v>
                </c:pt>
                <c:pt idx="17">
                  <c:v>2021-08
</c:v>
                </c:pt>
                <c:pt idx="18">
                  <c:v>2021-09
</c:v>
                </c:pt>
                <c:pt idx="19">
                  <c:v>2021-10
</c:v>
                </c:pt>
                <c:pt idx="20">
                  <c:v>2021-11
</c:v>
                </c:pt>
                <c:pt idx="21">
                  <c:v>2021-12
</c:v>
                </c:pt>
                <c:pt idx="22">
                  <c:v>2022-01
</c:v>
                </c:pt>
                <c:pt idx="23">
                  <c:v>2022-02
</c:v>
                </c:pt>
                <c:pt idx="24">
                  <c:v>2022-03
</c:v>
                </c:pt>
                <c:pt idx="25">
                  <c:v>2022-04
</c:v>
                </c:pt>
                <c:pt idx="26">
                  <c:v>2022-05
</c:v>
                </c:pt>
                <c:pt idx="27">
                  <c:v>2022-06
</c:v>
                </c:pt>
                <c:pt idx="28">
                  <c:v>2022-07
</c:v>
                </c:pt>
                <c:pt idx="29">
                  <c:v>2022-08
</c:v>
                </c:pt>
                <c:pt idx="30">
                  <c:v>2022-09
</c:v>
                </c:pt>
                <c:pt idx="31">
                  <c:v>2022-10
</c:v>
                </c:pt>
                <c:pt idx="32">
                  <c:v>2022-11
</c:v>
                </c:pt>
                <c:pt idx="33">
                  <c:v>2022-12
</c:v>
                </c:pt>
                <c:pt idx="34">
                  <c:v>2023-01
</c:v>
                </c:pt>
                <c:pt idx="35">
                  <c:v>2023-02
</c:v>
                </c:pt>
                <c:pt idx="36">
                  <c:v>2023-03
</c:v>
                </c:pt>
                <c:pt idx="37">
                  <c:v>2023-04
</c:v>
                </c:pt>
                <c:pt idx="38">
                  <c:v>2023-05
</c:v>
                </c:pt>
                <c:pt idx="39">
                  <c:v>2023-06
</c:v>
                </c:pt>
                <c:pt idx="40">
                  <c:v>2023-07
</c:v>
                </c:pt>
                <c:pt idx="41">
                  <c:v>2023-08
</c:v>
                </c:pt>
                <c:pt idx="42">
                  <c:v>2023-09
</c:v>
                </c:pt>
                <c:pt idx="43">
                  <c:v>2023-10
</c:v>
                </c:pt>
                <c:pt idx="44">
                  <c:v>2023-11
</c:v>
                </c:pt>
                <c:pt idx="45">
                  <c:v>2023-12
</c:v>
                </c:pt>
                <c:pt idx="46">
                  <c:v>2024-01
</c:v>
                </c:pt>
                <c:pt idx="47">
                  <c:v>2024-02
</c:v>
                </c:pt>
                <c:pt idx="48">
                  <c:v>2024-03
</c:v>
                </c:pt>
                <c:pt idx="49">
                  <c:v>2024-04
</c:v>
                </c:pt>
                <c:pt idx="50">
                  <c:v>2024-05
</c:v>
                </c:pt>
                <c:pt idx="51">
                  <c:v>2024-06
</c:v>
                </c:pt>
                <c:pt idx="52">
                  <c:v>2024-07
</c:v>
                </c:pt>
                <c:pt idx="53">
                  <c:v>2024-08
</c:v>
                </c:pt>
                <c:pt idx="54">
                  <c:v>2024-09
</c:v>
                </c:pt>
                <c:pt idx="55">
                  <c:v>2024-10
</c:v>
                </c:pt>
                <c:pt idx="56">
                  <c:v>2024-11
</c:v>
                </c:pt>
                <c:pt idx="57">
                  <c:v>2024-12
</c:v>
                </c:pt>
                <c:pt idx="58">
                  <c:v>2025-01
</c:v>
                </c:pt>
                <c:pt idx="59">
                  <c:v>2025-02
</c:v>
                </c:pt>
                <c:pt idx="60">
                  <c:v>2025-03
</c:v>
                </c:pt>
              </c:strCache>
            </c:strRef>
          </c:cat>
          <c:val>
            <c:numRef>
              <c:f>'[副本f3 大宗商品价格（更新到2206）.xls]CEEM实验指数'!$R$114:$R$174</c:f>
              <c:numCache>
                <c:formatCode>General</c:formatCode>
                <c:ptCount val="61"/>
                <c:pt idx="0">
                  <c:v>54.170899285238399</c:v>
                </c:pt>
                <c:pt idx="1">
                  <c:v>43.9935487660265</c:v>
                </c:pt>
                <c:pt idx="2">
                  <c:v>49.845705994608601</c:v>
                </c:pt>
                <c:pt idx="3">
                  <c:v>59.038874043521503</c:v>
                </c:pt>
                <c:pt idx="4">
                  <c:v>63.277966041327097</c:v>
                </c:pt>
                <c:pt idx="5">
                  <c:v>67.013678987458505</c:v>
                </c:pt>
                <c:pt idx="6">
                  <c:v>65.288092718247796</c:v>
                </c:pt>
                <c:pt idx="7">
                  <c:v>63.735032226212397</c:v>
                </c:pt>
                <c:pt idx="8">
                  <c:v>66.018805135626096</c:v>
                </c:pt>
                <c:pt idx="9">
                  <c:v>77.081148658019302</c:v>
                </c:pt>
                <c:pt idx="10">
                  <c:v>82.846301406374593</c:v>
                </c:pt>
                <c:pt idx="11">
                  <c:v>85.657244857662107</c:v>
                </c:pt>
                <c:pt idx="12">
                  <c:v>89.438429611167095</c:v>
                </c:pt>
                <c:pt idx="13">
                  <c:v>92.220503089186295</c:v>
                </c:pt>
                <c:pt idx="14">
                  <c:v>100.045448219297</c:v>
                </c:pt>
                <c:pt idx="15">
                  <c:v>105.141687648299</c:v>
                </c:pt>
                <c:pt idx="16">
                  <c:v>107.94238612995601</c:v>
                </c:pt>
                <c:pt idx="17">
                  <c:v>96.688401078684805</c:v>
                </c:pt>
                <c:pt idx="18">
                  <c:v>90.705630068698994</c:v>
                </c:pt>
                <c:pt idx="19">
                  <c:v>97.291217708221396</c:v>
                </c:pt>
                <c:pt idx="20">
                  <c:v>84.679163828631502</c:v>
                </c:pt>
                <c:pt idx="21">
                  <c:v>86.085987481519496</c:v>
                </c:pt>
                <c:pt idx="22">
                  <c:v>99.125898105503595</c:v>
                </c:pt>
                <c:pt idx="23">
                  <c:v>107.50142930470599</c:v>
                </c:pt>
                <c:pt idx="24">
                  <c:v>124.4181195144</c:v>
                </c:pt>
                <c:pt idx="25">
                  <c:v>123.132431250441</c:v>
                </c:pt>
                <c:pt idx="26">
                  <c:v>134.102734010609</c:v>
                </c:pt>
                <c:pt idx="27">
                  <c:v>134.251263350497</c:v>
                </c:pt>
                <c:pt idx="28">
                  <c:v>124.403914444598</c:v>
                </c:pt>
                <c:pt idx="29">
                  <c:v>122.280658548484</c:v>
                </c:pt>
                <c:pt idx="30">
                  <c:v>121.10884183879899</c:v>
                </c:pt>
                <c:pt idx="31">
                  <c:v>120.393039119348</c:v>
                </c:pt>
                <c:pt idx="32">
                  <c:v>113.05050012591001</c:v>
                </c:pt>
                <c:pt idx="33">
                  <c:v>113.641978454035</c:v>
                </c:pt>
                <c:pt idx="34">
                  <c:v>111.218274142583</c:v>
                </c:pt>
                <c:pt idx="35">
                  <c:v>101.429355827866</c:v>
                </c:pt>
                <c:pt idx="36">
                  <c:v>97.941982365646496</c:v>
                </c:pt>
                <c:pt idx="37">
                  <c:v>98.680473173040795</c:v>
                </c:pt>
                <c:pt idx="38">
                  <c:v>90.333341478103605</c:v>
                </c:pt>
                <c:pt idx="39">
                  <c:v>91.098236683117506</c:v>
                </c:pt>
                <c:pt idx="40">
                  <c:v>95.639980099409797</c:v>
                </c:pt>
                <c:pt idx="41">
                  <c:v>99.689484578590296</c:v>
                </c:pt>
                <c:pt idx="42">
                  <c:v>107.189681766315</c:v>
                </c:pt>
                <c:pt idx="43">
                  <c:v>102.67701590532</c:v>
                </c:pt>
                <c:pt idx="44">
                  <c:v>100.780082828885</c:v>
                </c:pt>
                <c:pt idx="45">
                  <c:v>100.15867230480499</c:v>
                </c:pt>
                <c:pt idx="46">
                  <c:v>98.297297922511007</c:v>
                </c:pt>
                <c:pt idx="47">
                  <c:v>95.407027427004493</c:v>
                </c:pt>
                <c:pt idx="48">
                  <c:v>94.080335645413797</c:v>
                </c:pt>
                <c:pt idx="49">
                  <c:v>97.073786202910895</c:v>
                </c:pt>
                <c:pt idx="50">
                  <c:v>96.9735597860371</c:v>
                </c:pt>
                <c:pt idx="51">
                  <c:v>93.209583690061706</c:v>
                </c:pt>
                <c:pt idx="52">
                  <c:v>93.559793680957199</c:v>
                </c:pt>
                <c:pt idx="53">
                  <c:v>88.678659960422806</c:v>
                </c:pt>
                <c:pt idx="54">
                  <c:v>83.962888076572497</c:v>
                </c:pt>
                <c:pt idx="55">
                  <c:v>87.899497496528795</c:v>
                </c:pt>
                <c:pt idx="56">
                  <c:v>86.912977112877698</c:v>
                </c:pt>
                <c:pt idx="57">
                  <c:v>85.9926584935872</c:v>
                </c:pt>
                <c:pt idx="58">
                  <c:v>87.965634692808905</c:v>
                </c:pt>
                <c:pt idx="59">
                  <c:v>86.757761001038403</c:v>
                </c:pt>
                <c:pt idx="60">
                  <c:v>83.6756814024086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525-4A1B-894F-723178E150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3775104"/>
        <c:axId val="343776640"/>
      </c:lineChart>
      <c:dateAx>
        <c:axId val="343775104"/>
        <c:scaling>
          <c:orientation val="minMax"/>
        </c:scaling>
        <c:delete val="0"/>
        <c:axPos val="b"/>
        <c:numFmt formatCode="yy&quot;年&quot;;@" sourceLinked="0"/>
        <c:majorTickMark val="out"/>
        <c:minorTickMark val="none"/>
        <c:tickLblPos val="low"/>
        <c:spPr>
          <a:ln w="158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 forceAA="0"/>
          <a:lstStyle/>
          <a:p>
            <a:pPr>
              <a:defRPr lang="zh-CN" sz="800" b="0" i="0" u="none" strike="noStrike" kern="1200" baseline="0">
                <a:solidFill>
                  <a:srgbClr val="000000"/>
                </a:solidFill>
                <a:latin typeface="楷体" panose="02010609060101010101" pitchFamily="3" charset="-122"/>
                <a:ea typeface="楷体" panose="02010609060101010101" pitchFamily="3" charset="-122"/>
                <a:cs typeface="楷体" panose="02010609060101010101" pitchFamily="3" charset="-122"/>
              </a:defRPr>
            </a:pPr>
            <a:endParaRPr lang="zh-CN"/>
          </a:p>
        </c:txPr>
        <c:crossAx val="343776640"/>
        <c:crosses val="autoZero"/>
        <c:auto val="0"/>
        <c:lblOffset val="100"/>
        <c:baseTimeUnit val="days"/>
      </c:dateAx>
      <c:valAx>
        <c:axId val="343776640"/>
        <c:scaling>
          <c:orientation val="minMax"/>
          <c:min val="30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 w="15875" cap="flat" cmpd="sng" algn="ctr">
            <a:solidFill>
              <a:schemeClr val="tx1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800" b="0" i="0" u="none" strike="noStrike" kern="1200" baseline="0">
                <a:solidFill>
                  <a:srgbClr val="000000"/>
                </a:solidFill>
                <a:latin typeface="Cambria Math" panose="02040503050406030204"/>
                <a:ea typeface="Cambria Math" panose="02040503050406030204"/>
                <a:cs typeface="Cambria Math" panose="02040503050406030204"/>
              </a:defRPr>
            </a:pPr>
            <a:endParaRPr lang="zh-CN"/>
          </a:p>
        </c:txPr>
        <c:crossAx val="343775104"/>
        <c:crosses val="autoZero"/>
        <c:crossBetween val="between"/>
      </c:valAx>
      <c:spPr>
        <a:solidFill>
          <a:srgbClr val="FFFFFF"/>
        </a:solidFill>
        <a:ln w="25400">
          <a:noFill/>
        </a:ln>
        <a:effectLst>
          <a:innerShdw>
            <a:srgbClr val="4F81BD">
              <a:lumMod val="40000"/>
              <a:lumOff val="60000"/>
            </a:srgbClr>
          </a:innerShdw>
        </a:effectLst>
      </c:spPr>
    </c:plotArea>
    <c:legend>
      <c:legendPos val="r"/>
      <c:layout>
        <c:manualLayout>
          <c:xMode val="edge"/>
          <c:yMode val="edge"/>
          <c:x val="0.32182146781825299"/>
          <c:y val="6.0238806827978601E-2"/>
          <c:w val="0.33218792287642301"/>
          <c:h val="5.2921367268236402E-2"/>
        </c:manualLayout>
      </c:layout>
      <c:overlay val="0"/>
      <c:spPr>
        <a:noFill/>
        <a:ln w="3175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rgbClr val="000000"/>
              </a:solidFill>
              <a:latin typeface="楷体" panose="02010609060101010101" pitchFamily="3" charset="-122"/>
              <a:ea typeface="楷体" panose="02010609060101010101" pitchFamily="3" charset="-122"/>
              <a:cs typeface="楷体" panose="02010609060101010101" pitchFamily="3" charset="-122"/>
            </a:defRPr>
          </a:pPr>
          <a:endParaRPr lang="zh-CN"/>
        </a:p>
      </c:txPr>
    </c:legend>
    <c:plotVisOnly val="1"/>
    <c:dispBlanksAs val="gap"/>
    <c:showDLblsOverMax val="0"/>
    <c:extLst xmlns:c16r2="http://schemas.microsoft.com/office/drawing/2015/06/chart">
      <c:ext uri="{0b15fc19-7d7d-44ad-8c2d-2c3a37ce22c3}">
        <chartProps xmlns="https://web.wps.cn/et/2018/main" chartId="{0dca23bd-9568-4aa5-9a3d-3bd31fe8b61b}"/>
      </c:ext>
    </c:extLst>
  </c:chart>
  <c:spPr>
    <a:solidFill>
      <a:srgbClr val="FFFFFF"/>
    </a:solidFill>
    <a:ln w="25400" cap="flat" cmpd="sng" algn="ctr">
      <a:noFill/>
      <a:prstDash val="solid"/>
      <a:round/>
    </a:ln>
  </c:spPr>
  <c:txPr>
    <a:bodyPr/>
    <a:lstStyle/>
    <a:p>
      <a:pPr>
        <a:defRPr lang="zh-CN" sz="800" b="0" i="0" u="none" strike="noStrike" baseline="0">
          <a:solidFill>
            <a:srgbClr val="000000"/>
          </a:solidFill>
          <a:latin typeface="Arial Unicode MS"/>
          <a:ea typeface="Arial Unicode MS"/>
          <a:cs typeface="Arial Unicode MS"/>
        </a:defRPr>
      </a:pPr>
      <a:endParaRPr lang="zh-CN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0.16944</cdr:x>
      <cdr:y>0.50581</cdr:y>
    </cdr:from>
    <cdr:to>
      <cdr:x>0.16944</cdr:x>
      <cdr:y>0.50581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124" y="3517"/>
          <a:ext cx="0" cy="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horz" wrap="square" lIns="45720" tIns="45720" rIns="45720" bIns="45720" rtlCol="0" anchor="t" anchorCtr="0">
          <a:normAutofit/>
        </a:bodyPr>
        <a:lstStyle xmlns:a="http://schemas.openxmlformats.org/drawingml/2006/main"/>
        <a:p xmlns:a="http://schemas.openxmlformats.org/drawingml/2006/main">
          <a:pPr algn="l"/>
          <a:r>
            <a:rPr lang="zh-CN" altLang="en-US" sz="900">
              <a:latin typeface="Cambria Math" panose="02040503050406030204" pitchFamily="1" charset="0"/>
              <a:ea typeface="楷体" panose="02010609060101010101" pitchFamily="3" charset="-122"/>
            </a:rPr>
            <a:t>数据来源：</a:t>
          </a:r>
          <a:r>
            <a:rPr lang="en-US" altLang="zh-CN" sz="900">
              <a:latin typeface="Cambria Math" panose="02040503050406030204" pitchFamily="1" charset="0"/>
              <a:ea typeface="Cambria Math" panose="02040503050406030204" pitchFamily="1" charset="0"/>
            </a:rPr>
            <a:t>CEIC</a:t>
          </a:r>
          <a:r>
            <a:rPr lang="zh-CN" altLang="en-US" sz="900">
              <a:latin typeface="Cambria Math" panose="02040503050406030204" pitchFamily="1" charset="0"/>
              <a:ea typeface="楷体" panose="02010609060101010101" pitchFamily="3" charset="-122"/>
            </a:rPr>
            <a:t>，世界经济预测与政策模拟实验室</a:t>
          </a:r>
        </a:p>
      </cdr:txBody>
    </cdr:sp>
  </cdr:relSizeAnchor>
  <cdr:relSizeAnchor xmlns:cdr="http://schemas.openxmlformats.org/drawingml/2006/chartDrawing">
    <cdr:from>
      <cdr:x>0.16944</cdr:x>
      <cdr:y>0.50581</cdr:y>
    </cdr:from>
    <cdr:to>
      <cdr:x>0.16944</cdr:x>
      <cdr:y>0.50581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1124" y="3517"/>
          <a:ext cx="0" cy="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horz" wrap="square" lIns="45720" tIns="45720" rIns="45720" bIns="45720" rtlCol="0" anchor="t" anchorCtr="0">
          <a:normAutofit/>
        </a:bodyPr>
        <a:lstStyle xmlns:a="http://schemas.openxmlformats.org/drawingml/2006/main"/>
        <a:p xmlns:a="http://schemas.openxmlformats.org/drawingml/2006/main">
          <a:r>
            <a:rPr lang="zh-CN" altLang="en-US" sz="800" baseline="0">
              <a:latin typeface="Times New Roman" panose="02020603050405020304" charset="0"/>
              <a:ea typeface="楷体" panose="02010609060101010101" pitchFamily="3" charset="-122"/>
            </a:rPr>
            <a:t>数据来源：</a:t>
          </a:r>
          <a:r>
            <a:rPr lang="en-US" altLang="zh-CN" sz="800" baseline="0">
              <a:latin typeface="Times New Roman" panose="02020603050405020304" charset="0"/>
              <a:ea typeface="楷体" panose="02010609060101010101" pitchFamily="3" charset="-122"/>
            </a:rPr>
            <a:t>CEIC</a:t>
          </a:r>
          <a:r>
            <a:rPr lang="zh-CN" altLang="en-US" sz="800" baseline="0">
              <a:latin typeface="Times New Roman" panose="02020603050405020304" charset="0"/>
              <a:ea typeface="楷体" panose="02010609060101010101" pitchFamily="3" charset="-122"/>
            </a:rPr>
            <a:t>，世界经济预测与政策模拟实验室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0.93574</cdr:y>
    </cdr:from>
    <cdr:to>
      <cdr:x>0.7308</cdr:x>
      <cdr:y>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0" y="2661993"/>
          <a:ext cx="3870244" cy="18280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horz" wrap="square" lIns="45720" tIns="45720" rIns="45720" bIns="45720" rtlCol="0" anchor="t" anchorCtr="0">
          <a:normAutofit/>
        </a:bodyPr>
        <a:lstStyle xmlns:a="http://schemas.openxmlformats.org/drawingml/2006/main"/>
        <a:p xmlns:a="http://schemas.openxmlformats.org/drawingml/2006/main">
          <a:pPr algn="l"/>
          <a:r>
            <a:rPr lang="zh-CN" altLang="en-US" sz="800" baseline="0">
              <a:latin typeface="+mj-lt"/>
              <a:ea typeface="楷体" panose="02010609060101010101" pitchFamily="3" charset="-122"/>
            </a:rPr>
            <a:t>数据来源：</a:t>
          </a:r>
          <a:r>
            <a:rPr lang="en-US" altLang="zh-CN" sz="800" baseline="0">
              <a:latin typeface="+mj-lt"/>
              <a:ea typeface="楷体" panose="02010609060101010101" pitchFamily="3" charset="-122"/>
            </a:rPr>
            <a:t>CEIC</a:t>
          </a:r>
          <a:r>
            <a:rPr lang="zh-CN" altLang="en-US" sz="800" baseline="0">
              <a:latin typeface="+mj-lt"/>
              <a:ea typeface="楷体" panose="02010609060101010101" pitchFamily="3" charset="-122"/>
            </a:rPr>
            <a:t>，世界经济预测与政策模拟实验室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​​">
  <a:themeElements>
    <a:clrScheme name="季报颜色">
      <a:dk1>
        <a:sysClr val="windowText" lastClr="000000"/>
      </a:dk1>
      <a:lt1>
        <a:srgbClr val="FFFFFF"/>
      </a:lt1>
      <a:dk2>
        <a:srgbClr val="000000"/>
      </a:dk2>
      <a:lt2>
        <a:srgbClr val="E7E6E6"/>
      </a:lt2>
      <a:accent1>
        <a:srgbClr val="106D9C"/>
      </a:accent1>
      <a:accent2>
        <a:srgbClr val="74A3BA"/>
      </a:accent2>
      <a:accent3>
        <a:srgbClr val="D17F7D"/>
      </a:accent3>
      <a:accent4>
        <a:srgbClr val="5A92AD"/>
      </a:accent4>
      <a:accent5>
        <a:srgbClr val="00A2DE"/>
      </a:accent5>
      <a:accent6>
        <a:srgbClr val="08BAFF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-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Cambria-Calibri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-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atMod val="350000"/>
              <a:shade val="99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9E0A33-13A8-4736-85DF-DFE520E9F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1864</Words>
  <Characters>10631</Characters>
  <Application>Microsoft Office Word</Application>
  <DocSecurity>0</DocSecurity>
  <Lines>88</Lines>
  <Paragraphs>24</Paragraphs>
  <ScaleCrop>false</ScaleCrop>
  <Company>中国社会社会科学院 世界经济与政治研究所</Company>
  <LinksUpToDate>false</LinksUpToDate>
  <CharactersWithSpaces>12471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全球宏观经济季度报告</dc:title>
  <dc:subject>2012年第1季度</dc:subject>
  <dc:creator>世界经济预测与模拟实验室/全球宏观经济研究室</dc:creator>
  <cp:lastModifiedBy>yzz</cp:lastModifiedBy>
  <cp:revision>4</cp:revision>
  <cp:lastPrinted>2025-04-21T07:12:00Z</cp:lastPrinted>
  <dcterms:created xsi:type="dcterms:W3CDTF">2025-04-21T03:58:00Z</dcterms:created>
  <dcterms:modified xsi:type="dcterms:W3CDTF">2025-04-30T02:24:00Z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A84D3A57A4F046508E6686CADF8923A9_13</vt:lpwstr>
  </property>
  <property fmtid="{D5CDD505-2E9C-101B-9397-08002B2CF9AE}" pid="4" name="KSOTemplateDocerSaveRecord">
    <vt:lpwstr>eyJoZGlkIjoiZWJjZTk2ZWFiMjZkMDk3MzQwOGJkMjBhODYyYmQ0ZmIiLCJ1c2VySWQiOiI2MDcxMjI2NDgifQ==</vt:lpwstr>
  </property>
</Properties>
</file>