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4F" w:rsidRDefault="00600F4F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00F4F" w:rsidRDefault="00FF79B7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>
        <w:rPr>
          <w:rFonts w:ascii="Times New Roman" w:eastAsia="宋体" w:hAnsi="Times New Roman" w:cs="Times New Roman"/>
          <w:b/>
          <w:sz w:val="30"/>
          <w:szCs w:val="30"/>
        </w:rPr>
        <w:t>人民币有效汇率数据月报（</w:t>
      </w:r>
      <w:r>
        <w:rPr>
          <w:rFonts w:ascii="Times New Roman" w:eastAsia="宋体" w:hAnsi="Times New Roman" w:cs="Times New Roman"/>
          <w:b/>
          <w:sz w:val="30"/>
          <w:szCs w:val="30"/>
        </w:rPr>
        <w:t>20</w:t>
      </w:r>
      <w:r w:rsidR="00872FEB">
        <w:rPr>
          <w:rFonts w:ascii="Times New Roman" w:eastAsia="宋体" w:hAnsi="Times New Roman" w:cs="Times New Roman" w:hint="eastAsia"/>
          <w:b/>
          <w:sz w:val="30"/>
          <w:szCs w:val="30"/>
        </w:rPr>
        <w:t>20</w:t>
      </w:r>
      <w:r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ED2247">
        <w:rPr>
          <w:rFonts w:ascii="Times New Roman" w:eastAsia="宋体" w:hAnsi="Times New Roman" w:cs="Times New Roman" w:hint="eastAsia"/>
          <w:b/>
          <w:sz w:val="30"/>
          <w:szCs w:val="30"/>
        </w:rPr>
        <w:t>4</w:t>
      </w:r>
      <w:r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:rsidR="00600F4F" w:rsidRDefault="00600F4F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="00854E2F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月，省级层面人民币有效汇率较上月环比平均</w:t>
      </w:r>
      <w:r w:rsidR="00854E2F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0.78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，较上年同比平均升值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2.26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>
        <w:rPr>
          <w:rStyle w:val="a8"/>
          <w:rFonts w:ascii="Times New Roman" w:eastAsia="宋体" w:hAnsi="Times New Roman" w:cs="Times New Roman"/>
          <w:b/>
          <w:sz w:val="24"/>
          <w:szCs w:val="24"/>
        </w:rPr>
        <w:footnoteReference w:id="1"/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，如果使用数据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，同比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升值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1.91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09146E">
        <w:rPr>
          <w:rStyle w:val="a8"/>
          <w:rFonts w:ascii="Times New Roman" w:eastAsia="宋体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同一时期，</w:t>
      </w:r>
      <w:r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>
        <w:rPr>
          <w:rFonts w:ascii="Times New Roman" w:eastAsia="宋体" w:hAnsi="Times New Roman" w:cs="Times New Roman"/>
          <w:sz w:val="24"/>
          <w:szCs w:val="24"/>
        </w:rPr>
        <w:t>BIS</w:t>
      </w:r>
      <w:r>
        <w:rPr>
          <w:rFonts w:ascii="Times New Roman" w:eastAsia="宋体" w:hAnsi="Times New Roman" w:cs="Times New Roman"/>
          <w:sz w:val="24"/>
          <w:szCs w:val="24"/>
        </w:rPr>
        <w:t>人民币名义有效汇率上月环比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41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/>
          <w:sz w:val="24"/>
          <w:szCs w:val="24"/>
        </w:rPr>
        <w:t>，上年同比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1.17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；省级层面人民币有效汇率上月环比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和同比</w:t>
      </w:r>
      <w:r>
        <w:rPr>
          <w:rFonts w:ascii="Times New Roman" w:eastAsia="宋体" w:hAnsi="Times New Roman" w:cs="Times New Roman" w:hint="eastAsia"/>
          <w:sz w:val="24"/>
          <w:szCs w:val="24"/>
        </w:rPr>
        <w:t>升值态势与</w:t>
      </w:r>
      <w:r>
        <w:rPr>
          <w:rFonts w:ascii="Times New Roman" w:eastAsia="宋体" w:hAnsi="Times New Roman" w:cs="Times New Roman"/>
          <w:sz w:val="24"/>
          <w:szCs w:val="24"/>
        </w:rPr>
        <w:t>BIS</w:t>
      </w:r>
      <w:r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>
        <w:rPr>
          <w:rFonts w:ascii="Times New Roman" w:eastAsia="宋体" w:hAnsi="Times New Roman" w:cs="Times New Roman" w:hint="eastAsia"/>
          <w:sz w:val="24"/>
          <w:szCs w:val="24"/>
        </w:rPr>
        <w:t>一致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852EC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因贸易伙伴不同，各省人民币有效汇率走势存在差异。上月环比数据来看，各省升贬值幅度差距最大仅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2.10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个百分点。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个省份人民币有效汇率上月环比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934D94">
        <w:rPr>
          <w:rFonts w:ascii="Times New Roman" w:eastAsia="宋体" w:hAnsi="Times New Roman" w:cs="Times New Roman" w:hint="eastAsia"/>
          <w:sz w:val="24"/>
          <w:szCs w:val="24"/>
        </w:rPr>
        <w:t>幅度</w:t>
      </w:r>
      <w:r>
        <w:rPr>
          <w:rFonts w:ascii="Times New Roman" w:eastAsia="宋体" w:hAnsi="Times New Roman" w:cs="Times New Roman" w:hint="eastAsia"/>
          <w:sz w:val="24"/>
          <w:szCs w:val="24"/>
        </w:rPr>
        <w:t>大于</w:t>
      </w:r>
      <w:r>
        <w:rPr>
          <w:rFonts w:ascii="Times New Roman" w:eastAsia="宋体" w:hAnsi="Times New Roman" w:cs="Times New Roman" w:hint="eastAsia"/>
          <w:sz w:val="24"/>
          <w:szCs w:val="24"/>
        </w:rPr>
        <w:t>BIS</w:t>
      </w:r>
      <w:r>
        <w:rPr>
          <w:rFonts w:ascii="Times New Roman" w:eastAsia="宋体" w:hAnsi="Times New Roman" w:cs="Times New Roman" w:hint="eastAsia"/>
          <w:sz w:val="24"/>
          <w:szCs w:val="24"/>
        </w:rPr>
        <w:t>人民币名义有效汇率。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黑龙江和河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广西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854E2F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2.13</w:t>
      </w:r>
      <w:r>
        <w:rPr>
          <w:rFonts w:ascii="Times New Roman" w:eastAsia="宋体" w:hAnsi="Times New Roman" w:cs="Times New Roman" w:hint="eastAsia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1.39</w:t>
      </w:r>
      <w:r>
        <w:rPr>
          <w:rFonts w:ascii="Times New Roman" w:eastAsia="宋体" w:hAnsi="Times New Roman" w:cs="Times New Roman" w:hint="eastAsia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升值幅度最低</w:t>
      </w:r>
      <w:r>
        <w:rPr>
          <w:rFonts w:ascii="Times New Roman" w:eastAsia="宋体" w:hAnsi="Times New Roman" w:cs="Times New Roman" w:hint="eastAsia"/>
          <w:sz w:val="24"/>
          <w:szCs w:val="24"/>
        </w:rPr>
        <w:t>的三个省份分别为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广东、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陕西和青海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24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0.11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0.0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上年同比数据来看，各省升贬值幅度差距最大可达</w:t>
      </w:r>
      <w:r w:rsidR="004852EC">
        <w:rPr>
          <w:rFonts w:ascii="Times New Roman" w:eastAsia="宋体" w:hAnsi="Times New Roman" w:cs="Times New Roman" w:hint="eastAsia"/>
          <w:b/>
          <w:sz w:val="24"/>
          <w:szCs w:val="24"/>
        </w:rPr>
        <w:t>14.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65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ED2247">
        <w:rPr>
          <w:rFonts w:ascii="Times New Roman" w:eastAsia="宋体" w:hAnsi="Times New Roman" w:cs="Times New Roman" w:hint="eastAsia"/>
          <w:b/>
          <w:sz w:val="24"/>
          <w:szCs w:val="24"/>
        </w:rPr>
        <w:t>22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个省份与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人民币名义有效汇率贬值态势一致；</w:t>
      </w:r>
      <w:r>
        <w:rPr>
          <w:rFonts w:ascii="Times New Roman" w:eastAsia="宋体" w:hAnsi="Times New Roman" w:cs="Times New Roman" w:hint="eastAsia"/>
          <w:sz w:val="24"/>
          <w:szCs w:val="24"/>
        </w:rPr>
        <w:t>其中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18</w:t>
      </w:r>
      <w:r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幅度大于</w:t>
      </w:r>
      <w:r>
        <w:rPr>
          <w:rFonts w:ascii="Times New Roman" w:eastAsia="宋体" w:hAnsi="Times New Roman" w:cs="Times New Roman" w:hint="eastAsia"/>
          <w:sz w:val="24"/>
          <w:szCs w:val="24"/>
        </w:rPr>
        <w:t>BIS</w:t>
      </w:r>
      <w:r>
        <w:rPr>
          <w:rFonts w:ascii="Times New Roman" w:eastAsia="宋体" w:hAnsi="Times New Roman" w:cs="Times New Roman" w:hint="eastAsia"/>
          <w:sz w:val="24"/>
          <w:szCs w:val="24"/>
        </w:rPr>
        <w:t>人民币名义有效汇率。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黑龙江、内蒙古和海南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4852EC">
        <w:rPr>
          <w:rFonts w:ascii="Times New Roman" w:eastAsia="宋体" w:hAnsi="Times New Roman" w:cs="Times New Roman" w:hint="eastAsia"/>
          <w:sz w:val="24"/>
          <w:szCs w:val="24"/>
        </w:rPr>
        <w:t>贬值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4.14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2.45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1.92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；升值幅度最高</w:t>
      </w:r>
      <w:r>
        <w:rPr>
          <w:rFonts w:ascii="Times New Roman" w:eastAsia="宋体" w:hAnsi="Times New Roman" w:cs="Times New Roman" w:hint="eastAsia"/>
          <w:sz w:val="24"/>
          <w:szCs w:val="24"/>
        </w:rPr>
        <w:t>的三个省份分别为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北京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、安徽和甘肃</w:t>
      </w:r>
      <w:r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10.62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3.20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9B6C91">
        <w:rPr>
          <w:rFonts w:ascii="Times New Roman" w:eastAsia="宋体" w:hAnsi="Times New Roman" w:cs="Times New Roman" w:hint="eastAsia"/>
          <w:sz w:val="24"/>
          <w:szCs w:val="24"/>
        </w:rPr>
        <w:t>2.54</w:t>
      </w:r>
      <w:r>
        <w:rPr>
          <w:rFonts w:ascii="Times New Roman" w:eastAsia="宋体" w:hAnsi="Times New Roman" w:cs="Times New Roman"/>
          <w:sz w:val="24"/>
          <w:szCs w:val="24"/>
        </w:rPr>
        <w:t>%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7D3AE2">
        <w:rPr>
          <w:rFonts w:ascii="Times New Roman" w:eastAsia="宋体" w:hAnsi="Times New Roman" w:cs="Times New Roman" w:hint="eastAsia"/>
          <w:sz w:val="24"/>
          <w:szCs w:val="24"/>
        </w:rPr>
        <w:t>如果北京市使用剔除委内瑞拉的权重，分省差异缩小至</w:t>
      </w:r>
      <w:r w:rsidR="00ED2247">
        <w:rPr>
          <w:rFonts w:ascii="Times New Roman" w:eastAsia="宋体" w:hAnsi="Times New Roman" w:cs="Times New Roman" w:hint="eastAsia"/>
          <w:sz w:val="24"/>
          <w:szCs w:val="24"/>
        </w:rPr>
        <w:t>8.50</w:t>
      </w:r>
      <w:r w:rsidR="007D3AE2">
        <w:rPr>
          <w:rFonts w:ascii="Times New Roman" w:eastAsia="宋体" w:hAnsi="Times New Roman" w:cs="Times New Roman" w:hint="eastAsia"/>
          <w:sz w:val="24"/>
          <w:szCs w:val="24"/>
        </w:rPr>
        <w:t>个百分点。</w:t>
      </w:r>
    </w:p>
    <w:p w:rsidR="00600F4F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600F4F" w:rsidRPr="009B6C91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600F4F" w:rsidRDefault="00FF79B7">
      <w:pPr>
        <w:pStyle w:val="a3"/>
        <w:keepNext/>
        <w:jc w:val="center"/>
        <w:rPr>
          <w:rFonts w:ascii="黑体" w:hAnsi="黑体" w:cs="Times New Roman"/>
        </w:rPr>
      </w:pPr>
      <w:r>
        <w:rPr>
          <w:rFonts w:ascii="黑体" w:hAnsi="黑体" w:cs="Times New Roman"/>
        </w:rPr>
        <w:lastRenderedPageBreak/>
        <w:t xml:space="preserve">图 </w:t>
      </w:r>
      <w:r w:rsidR="00F761F2">
        <w:rPr>
          <w:rFonts w:ascii="黑体" w:hAnsi="黑体" w:cs="Times New Roman"/>
        </w:rPr>
        <w:fldChar w:fldCharType="begin"/>
      </w:r>
      <w:r>
        <w:rPr>
          <w:rFonts w:ascii="黑体" w:hAnsi="黑体" w:cs="Times New Roman"/>
        </w:rPr>
        <w:instrText xml:space="preserve"> SEQ 图 \* ARABIC </w:instrText>
      </w:r>
      <w:r w:rsidR="00F761F2">
        <w:rPr>
          <w:rFonts w:ascii="黑体" w:hAnsi="黑体" w:cs="Times New Roman"/>
        </w:rPr>
        <w:fldChar w:fldCharType="separate"/>
      </w:r>
      <w:r>
        <w:rPr>
          <w:rFonts w:ascii="黑体" w:hAnsi="黑体" w:cs="Times New Roman"/>
        </w:rPr>
        <w:t>1</w:t>
      </w:r>
      <w:r w:rsidR="00F761F2">
        <w:rPr>
          <w:rFonts w:ascii="黑体" w:hAnsi="黑体" w:cs="Times New Roman"/>
        </w:rPr>
        <w:fldChar w:fldCharType="end"/>
      </w:r>
      <w:r>
        <w:rPr>
          <w:rFonts w:ascii="黑体" w:hAnsi="黑体" w:cs="Times New Roman" w:hint="eastAsia"/>
        </w:rPr>
        <w:t>代表性省份</w:t>
      </w:r>
      <w:r>
        <w:rPr>
          <w:rFonts w:ascii="黑体" w:hAnsi="黑体" w:cs="Times New Roman"/>
        </w:rPr>
        <w:t>人民币有效汇率</w:t>
      </w:r>
      <w:r>
        <w:rPr>
          <w:rFonts w:ascii="黑体" w:hAnsi="黑体" w:cs="Times New Roman" w:hint="eastAsia"/>
        </w:rPr>
        <w:t>指数</w:t>
      </w:r>
      <w:r>
        <w:rPr>
          <w:rFonts w:ascii="黑体" w:hAnsi="黑体" w:cs="Times New Roman"/>
        </w:rPr>
        <w:t>与传统有效汇率指数</w:t>
      </w:r>
    </w:p>
    <w:p w:rsidR="00600F4F" w:rsidRDefault="00ED2247">
      <w:r>
        <w:rPr>
          <w:noProof/>
        </w:rPr>
        <w:drawing>
          <wp:inline distT="0" distB="0" distL="0" distR="0">
            <wp:extent cx="5274310" cy="3105237"/>
            <wp:effectExtent l="19050" t="0" r="2540" b="0"/>
            <wp:docPr id="1" name="图片 1" descr="C:\Users\Administrator\AppData\Local\Temp\15902947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0294776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说明：上升代表升值，下降代表贬值，基期均为</w:t>
      </w:r>
      <w:r>
        <w:rPr>
          <w:rFonts w:ascii="Times New Roman" w:eastAsia="宋体" w:hAnsi="Times New Roman" w:cs="Times New Roman" w:hint="eastAsia"/>
          <w:sz w:val="18"/>
          <w:szCs w:val="18"/>
        </w:rPr>
        <w:t>2010</w:t>
      </w:r>
      <w:r>
        <w:rPr>
          <w:rFonts w:ascii="Times New Roman" w:eastAsia="宋体" w:hAnsi="Times New Roman" w:cs="Times New Roman" w:hint="eastAsia"/>
          <w:sz w:val="18"/>
          <w:szCs w:val="18"/>
        </w:rPr>
        <w:t>年。</w:t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:rsidR="00600F4F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600F4F" w:rsidRDefault="00FF79B7">
      <w:pPr>
        <w:pStyle w:val="a3"/>
        <w:keepNext/>
        <w:jc w:val="center"/>
      </w:pPr>
      <w:r>
        <w:t>表</w:t>
      </w:r>
      <w:r w:rsidR="00F761F2">
        <w:fldChar w:fldCharType="begin"/>
      </w:r>
      <w:r>
        <w:instrText xml:space="preserve"> SEQ </w:instrText>
      </w:r>
      <w:r>
        <w:instrText>表格</w:instrText>
      </w:r>
      <w:r>
        <w:instrText xml:space="preserve"> \* ARABIC </w:instrText>
      </w:r>
      <w:r w:rsidR="00F761F2">
        <w:fldChar w:fldCharType="separate"/>
      </w:r>
      <w:r>
        <w:t>1</w:t>
      </w:r>
      <w:r w:rsidR="00F761F2">
        <w:fldChar w:fldCharType="end"/>
      </w:r>
      <w:r>
        <w:rPr>
          <w:rFonts w:hint="eastAsia"/>
        </w:rPr>
        <w:t>省级层面人民币有效汇率</w:t>
      </w:r>
      <w:r w:rsidR="00B42795">
        <w:rPr>
          <w:rFonts w:hint="eastAsia"/>
        </w:rPr>
        <w:t>环</w:t>
      </w:r>
      <w:r>
        <w:rPr>
          <w:rFonts w:hint="eastAsia"/>
        </w:rPr>
        <w:t>比变动（</w:t>
      </w:r>
      <w:r>
        <w:rPr>
          <w:rFonts w:hint="eastAsia"/>
        </w:rPr>
        <w:t>20</w:t>
      </w:r>
      <w:r w:rsidR="00C77092">
        <w:rPr>
          <w:rFonts w:hint="eastAsia"/>
        </w:rPr>
        <w:t>20</w:t>
      </w:r>
      <w:r>
        <w:rPr>
          <w:rFonts w:hint="eastAsia"/>
        </w:rPr>
        <w:t>年</w:t>
      </w:r>
      <w:r w:rsidR="00ED2247">
        <w:rPr>
          <w:rFonts w:hint="eastAsia"/>
        </w:rPr>
        <w:t>4</w:t>
      </w:r>
      <w:r>
        <w:rPr>
          <w:rFonts w:hint="eastAsia"/>
        </w:rPr>
        <w:t>月）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1922"/>
      </w:tblGrid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上月环比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北京1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2.13%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1.07%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0.92%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北京2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0.64%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0.42%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0.26%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0.24%</w:t>
            </w:r>
          </w:p>
        </w:tc>
      </w:tr>
      <w:tr w:rsidR="00ED2247" w:rsidRPr="00ED2247" w:rsidTr="00ED2247">
        <w:trPr>
          <w:trHeight w:val="30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0.11%</w:t>
            </w:r>
          </w:p>
        </w:tc>
      </w:tr>
      <w:tr w:rsidR="00ED2247" w:rsidRPr="00ED2247" w:rsidTr="00ED2247">
        <w:trPr>
          <w:trHeight w:val="30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0.04%</w:t>
            </w:r>
          </w:p>
        </w:tc>
      </w:tr>
    </w:tbl>
    <w:p w:rsidR="00600F4F" w:rsidRDefault="00600F4F"/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说明：蓝色阴影为东部地区，黄色阴影为中部地区，白色为西部地区，下表同。</w:t>
      </w:r>
    </w:p>
    <w:p w:rsidR="00600F4F" w:rsidRDefault="00FF79B7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:rsidR="00600F4F" w:rsidRDefault="00600F4F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:rsidR="00600F4F" w:rsidRDefault="00FF79B7">
      <w:pPr>
        <w:pStyle w:val="a3"/>
        <w:keepNext/>
        <w:jc w:val="center"/>
      </w:pPr>
      <w:r>
        <w:t>表</w:t>
      </w:r>
      <w:r w:rsidR="00F761F2">
        <w:fldChar w:fldCharType="begin"/>
      </w:r>
      <w:r>
        <w:instrText xml:space="preserve"> SEQ </w:instrText>
      </w:r>
      <w:r>
        <w:instrText>表格</w:instrText>
      </w:r>
      <w:r>
        <w:instrText xml:space="preserve"> \* ARABIC </w:instrText>
      </w:r>
      <w:r w:rsidR="00F761F2">
        <w:fldChar w:fldCharType="separate"/>
      </w:r>
      <w:r>
        <w:t>2</w:t>
      </w:r>
      <w:r w:rsidR="00F761F2">
        <w:fldChar w:fldCharType="end"/>
      </w:r>
      <w:r w:rsidR="00B42795">
        <w:rPr>
          <w:rFonts w:hint="eastAsia"/>
        </w:rPr>
        <w:t>省级层面人民币有效汇率同比变动</w:t>
      </w:r>
      <w:r>
        <w:rPr>
          <w:rFonts w:hint="eastAsia"/>
        </w:rPr>
        <w:t>（</w:t>
      </w:r>
      <w:r>
        <w:rPr>
          <w:rFonts w:hint="eastAsia"/>
        </w:rPr>
        <w:t>20</w:t>
      </w:r>
      <w:r w:rsidR="00C77092">
        <w:rPr>
          <w:rFonts w:hint="eastAsia"/>
        </w:rPr>
        <w:t>20</w:t>
      </w:r>
      <w:r>
        <w:rPr>
          <w:rFonts w:hint="eastAsia"/>
        </w:rPr>
        <w:t>年</w:t>
      </w:r>
      <w:r w:rsidR="00ED2247">
        <w:rPr>
          <w:rFonts w:hint="eastAsia"/>
        </w:rPr>
        <w:t>4</w:t>
      </w:r>
      <w:r>
        <w:rPr>
          <w:rFonts w:hint="eastAsia"/>
        </w:rPr>
        <w:t>月）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1"/>
        <w:gridCol w:w="1922"/>
      </w:tblGrid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上年同比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北京1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13.13%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6.97%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6.48%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kern w:val="0"/>
                <w:szCs w:val="21"/>
              </w:rPr>
              <w:t>河北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5.70%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5.35%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4.73%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4.72%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4.49%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3.93%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3.31%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3.16%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2.77%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2.31%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1.80%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0.76%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0.69%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0.40%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0.35%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北京2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0.21%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-0.13%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-0.15%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-0.25%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-0.50%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-0.64%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-1.20%</w:t>
            </w:r>
          </w:p>
        </w:tc>
      </w:tr>
      <w:tr w:rsidR="00ED2247" w:rsidRPr="00ED2247" w:rsidTr="00ED2247">
        <w:trPr>
          <w:trHeight w:val="270"/>
          <w:jc w:val="center"/>
        </w:trPr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-1.21%</w:t>
            </w:r>
          </w:p>
        </w:tc>
      </w:tr>
      <w:tr w:rsidR="00ED2247" w:rsidRPr="00ED2247" w:rsidTr="00ED2247">
        <w:trPr>
          <w:trHeight w:val="30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-1.26%</w:t>
            </w:r>
          </w:p>
        </w:tc>
      </w:tr>
      <w:tr w:rsidR="00ED2247" w:rsidRPr="00ED2247" w:rsidTr="00ED2247">
        <w:trPr>
          <w:trHeight w:val="300"/>
          <w:jc w:val="center"/>
        </w:trPr>
        <w:tc>
          <w:tcPr>
            <w:tcW w:w="1788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080" w:type="dxa"/>
            <w:shd w:val="clear" w:color="000000" w:fill="00B0F0"/>
            <w:noWrap/>
            <w:vAlign w:val="center"/>
            <w:hideMark/>
          </w:tcPr>
          <w:p w:rsidR="00ED2247" w:rsidRPr="00ED2247" w:rsidRDefault="00ED2247" w:rsidP="00ED22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224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-1.52%</w:t>
            </w:r>
          </w:p>
        </w:tc>
      </w:tr>
    </w:tbl>
    <w:p w:rsidR="00600F4F" w:rsidRDefault="00600F4F" w:rsidP="00ED2247">
      <w:pPr>
        <w:jc w:val="center"/>
      </w:pPr>
    </w:p>
    <w:sectPr w:rsidR="00600F4F" w:rsidSect="00600F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B3" w:rsidRDefault="009448B3" w:rsidP="00600F4F">
      <w:r>
        <w:separator/>
      </w:r>
    </w:p>
  </w:endnote>
  <w:endnote w:type="continuationSeparator" w:id="0">
    <w:p w:rsidR="009448B3" w:rsidRDefault="009448B3" w:rsidP="0060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B3" w:rsidRDefault="009448B3" w:rsidP="00600F4F">
      <w:r>
        <w:separator/>
      </w:r>
    </w:p>
  </w:footnote>
  <w:footnote w:type="continuationSeparator" w:id="0">
    <w:p w:rsidR="009448B3" w:rsidRDefault="009448B3" w:rsidP="00600F4F">
      <w:r>
        <w:continuationSeparator/>
      </w:r>
    </w:p>
  </w:footnote>
  <w:footnote w:id="1">
    <w:p w:rsidR="00600F4F" w:rsidRDefault="00FF79B7">
      <w:pPr>
        <w:pStyle w:val="a7"/>
      </w:pPr>
      <w:r>
        <w:rPr>
          <w:rStyle w:val="a8"/>
        </w:rPr>
        <w:footnoteRef/>
      </w:r>
      <w:r>
        <w:rPr>
          <w:rFonts w:hint="eastAsia"/>
        </w:rPr>
        <w:t>是31个省市自治区贬值幅度的简单平均。</w:t>
      </w:r>
    </w:p>
  </w:footnote>
  <w:footnote w:id="2">
    <w:p w:rsidR="0009146E" w:rsidRDefault="0009146E">
      <w:pPr>
        <w:pStyle w:val="a7"/>
      </w:pPr>
      <w:r>
        <w:rPr>
          <w:rStyle w:val="a8"/>
        </w:rPr>
        <w:footnoteRef/>
      </w:r>
      <w:r>
        <w:rPr>
          <w:rFonts w:hint="eastAsia"/>
        </w:rPr>
        <w:t>由于委内瑞拉货币比值出现较大幅度贬值，且在北京2011-2013年贸易权重中，委内瑞拉占比约3.7%；对此本数据库给出了两个北京市有效汇率数据，其中数据1采用原始权重，数据2采用的是剔除委内瑞拉重新标准化的权重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4F" w:rsidRDefault="00F761F2">
    <w:pPr>
      <w:pStyle w:val="a6"/>
    </w:pPr>
    <w:r>
      <w:pict>
        <v:rect id="矩形 197" o:spid="_x0000_s1026" style="position:absolute;left:0;text-align:left;margin-left:90pt;margin-top:37.85pt;width:468.5pt;height:21.3pt;z-index:-251658752;mso-width-percent:1000;mso-height-percent:27;mso-wrap-distance-left:9.35pt;mso-wrap-distance-right:9.35pt;mso-position-horizontal-relative:page;mso-position-vertical-relative:page;mso-width-percent:1000;mso-height-percent:27;mso-width-relative:margin;v-text-anchor:middle" o:gfxdata="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0/2I1QAAAAQBAAAPAAAAAAAAAAEAIAAAACIAAABkcnMvZG93bnJldi54bWxQSwECFAAU&#10;AAAACACHTuJADy4nrrsBAABPAwAADgAAAAAAAAABACAAAAAkAQAAZHJzL2Uyb0RvYy54bWxQSwUG&#10;AAAAAAYABgBZAQAAUQUAAAAA&#10;" o:allowoverlap="f" fillcolor="#4472c4" stroked="f" strokeweight="1pt">
          <v:textbox style="mso-fit-shape-to-text:t">
            <w:txbxContent>
              <w:sdt>
                <w:sdtPr>
                  <w:rPr>
                    <w:rFonts w:ascii="黑体" w:eastAsia="黑体" w:hAnsi="黑体" w:cs="Times New Roman"/>
                    <w:b/>
                    <w:caps/>
                    <w:color w:val="FFFFFF" w:themeColor="background1"/>
                    <w:sz w:val="28"/>
                    <w:szCs w:val="28"/>
                  </w:rPr>
                  <w:alias w:val="标题"/>
                  <w:id w:val="1189017394"/>
                  <w:text/>
                </w:sdtPr>
                <w:sdtContent>
                  <w:p w:rsidR="00600F4F" w:rsidRDefault="00FF79B7">
                    <w:pPr>
                      <w:pStyle w:val="a6"/>
                      <w:jc w:val="right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IWEP-HEER数据月报</w:t>
                    </w:r>
                  </w:p>
                </w:sdtContent>
              </w:sdt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20555"/>
    <w:rsid w:val="00030BDE"/>
    <w:rsid w:val="00067782"/>
    <w:rsid w:val="0007302D"/>
    <w:rsid w:val="00075CEE"/>
    <w:rsid w:val="0007710B"/>
    <w:rsid w:val="00083A46"/>
    <w:rsid w:val="0009146E"/>
    <w:rsid w:val="000B7D0A"/>
    <w:rsid w:val="000D4FA6"/>
    <w:rsid w:val="000D7B72"/>
    <w:rsid w:val="000E03FC"/>
    <w:rsid w:val="000E6CCC"/>
    <w:rsid w:val="000F1F0E"/>
    <w:rsid w:val="001213DF"/>
    <w:rsid w:val="00130B89"/>
    <w:rsid w:val="00161977"/>
    <w:rsid w:val="001657EF"/>
    <w:rsid w:val="001A5BBB"/>
    <w:rsid w:val="002034D7"/>
    <w:rsid w:val="002041B5"/>
    <w:rsid w:val="0020546C"/>
    <w:rsid w:val="00210905"/>
    <w:rsid w:val="00281F78"/>
    <w:rsid w:val="00286A45"/>
    <w:rsid w:val="002A151B"/>
    <w:rsid w:val="002A2049"/>
    <w:rsid w:val="002E1669"/>
    <w:rsid w:val="002E2581"/>
    <w:rsid w:val="002E7E53"/>
    <w:rsid w:val="0030403D"/>
    <w:rsid w:val="0033236A"/>
    <w:rsid w:val="0033361A"/>
    <w:rsid w:val="0033543A"/>
    <w:rsid w:val="00335A68"/>
    <w:rsid w:val="00364641"/>
    <w:rsid w:val="00385853"/>
    <w:rsid w:val="00393628"/>
    <w:rsid w:val="003A7A5C"/>
    <w:rsid w:val="003B0439"/>
    <w:rsid w:val="003B7562"/>
    <w:rsid w:val="003E40C8"/>
    <w:rsid w:val="003F4A06"/>
    <w:rsid w:val="0040238B"/>
    <w:rsid w:val="0041351A"/>
    <w:rsid w:val="00420555"/>
    <w:rsid w:val="00484922"/>
    <w:rsid w:val="004852EC"/>
    <w:rsid w:val="004F5D81"/>
    <w:rsid w:val="00502E9F"/>
    <w:rsid w:val="00506398"/>
    <w:rsid w:val="00510CF4"/>
    <w:rsid w:val="00554186"/>
    <w:rsid w:val="00570C9C"/>
    <w:rsid w:val="00581E14"/>
    <w:rsid w:val="00586075"/>
    <w:rsid w:val="00590700"/>
    <w:rsid w:val="005B69FF"/>
    <w:rsid w:val="005B7DA5"/>
    <w:rsid w:val="005D48C7"/>
    <w:rsid w:val="005F1EFD"/>
    <w:rsid w:val="00600F4F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3AF7"/>
    <w:rsid w:val="00696DBB"/>
    <w:rsid w:val="006B6952"/>
    <w:rsid w:val="006C3B74"/>
    <w:rsid w:val="006E6A22"/>
    <w:rsid w:val="006F6A85"/>
    <w:rsid w:val="0070118B"/>
    <w:rsid w:val="00717627"/>
    <w:rsid w:val="0072145D"/>
    <w:rsid w:val="00735A5F"/>
    <w:rsid w:val="00751398"/>
    <w:rsid w:val="007519CE"/>
    <w:rsid w:val="00754CA9"/>
    <w:rsid w:val="0077323E"/>
    <w:rsid w:val="00792348"/>
    <w:rsid w:val="007A569D"/>
    <w:rsid w:val="007C10A0"/>
    <w:rsid w:val="007C1E64"/>
    <w:rsid w:val="007D3AE2"/>
    <w:rsid w:val="007F145C"/>
    <w:rsid w:val="0081735E"/>
    <w:rsid w:val="00850128"/>
    <w:rsid w:val="00854E2F"/>
    <w:rsid w:val="008627E4"/>
    <w:rsid w:val="00872FEB"/>
    <w:rsid w:val="00884DA6"/>
    <w:rsid w:val="008963E1"/>
    <w:rsid w:val="00896688"/>
    <w:rsid w:val="008B16CE"/>
    <w:rsid w:val="008B2ABC"/>
    <w:rsid w:val="008F0556"/>
    <w:rsid w:val="00901E8F"/>
    <w:rsid w:val="00930401"/>
    <w:rsid w:val="00934D94"/>
    <w:rsid w:val="00934FD1"/>
    <w:rsid w:val="009448B3"/>
    <w:rsid w:val="009524BE"/>
    <w:rsid w:val="00971781"/>
    <w:rsid w:val="00973962"/>
    <w:rsid w:val="009825E1"/>
    <w:rsid w:val="0098287E"/>
    <w:rsid w:val="009A228C"/>
    <w:rsid w:val="009A3A6F"/>
    <w:rsid w:val="009A3F5A"/>
    <w:rsid w:val="009B6C91"/>
    <w:rsid w:val="009F1DB0"/>
    <w:rsid w:val="00A051E6"/>
    <w:rsid w:val="00A22A8A"/>
    <w:rsid w:val="00A32DC8"/>
    <w:rsid w:val="00A522C7"/>
    <w:rsid w:val="00A62132"/>
    <w:rsid w:val="00A62A9C"/>
    <w:rsid w:val="00A76629"/>
    <w:rsid w:val="00A768B8"/>
    <w:rsid w:val="00A84DF7"/>
    <w:rsid w:val="00A952E7"/>
    <w:rsid w:val="00A97DF0"/>
    <w:rsid w:val="00AB160F"/>
    <w:rsid w:val="00AB2674"/>
    <w:rsid w:val="00AB65F4"/>
    <w:rsid w:val="00AD453A"/>
    <w:rsid w:val="00B1587B"/>
    <w:rsid w:val="00B35328"/>
    <w:rsid w:val="00B42795"/>
    <w:rsid w:val="00B65521"/>
    <w:rsid w:val="00B765F0"/>
    <w:rsid w:val="00B83FFB"/>
    <w:rsid w:val="00B92558"/>
    <w:rsid w:val="00BB6FA8"/>
    <w:rsid w:val="00BC1765"/>
    <w:rsid w:val="00BC799F"/>
    <w:rsid w:val="00BD2391"/>
    <w:rsid w:val="00BD2720"/>
    <w:rsid w:val="00BE0BA1"/>
    <w:rsid w:val="00BE2D09"/>
    <w:rsid w:val="00C01F7F"/>
    <w:rsid w:val="00C23D2F"/>
    <w:rsid w:val="00C24ED6"/>
    <w:rsid w:val="00C57878"/>
    <w:rsid w:val="00C67853"/>
    <w:rsid w:val="00C701A2"/>
    <w:rsid w:val="00C77092"/>
    <w:rsid w:val="00C968D0"/>
    <w:rsid w:val="00C96EAE"/>
    <w:rsid w:val="00CA255C"/>
    <w:rsid w:val="00CB08F6"/>
    <w:rsid w:val="00CB292B"/>
    <w:rsid w:val="00CB2D69"/>
    <w:rsid w:val="00CB473A"/>
    <w:rsid w:val="00CC1B60"/>
    <w:rsid w:val="00CC52EF"/>
    <w:rsid w:val="00CC7CC2"/>
    <w:rsid w:val="00CD2FCC"/>
    <w:rsid w:val="00CD328F"/>
    <w:rsid w:val="00CE77E0"/>
    <w:rsid w:val="00CF010A"/>
    <w:rsid w:val="00CF097F"/>
    <w:rsid w:val="00D15841"/>
    <w:rsid w:val="00D44972"/>
    <w:rsid w:val="00D746E9"/>
    <w:rsid w:val="00DA039E"/>
    <w:rsid w:val="00DA47B1"/>
    <w:rsid w:val="00DB1B58"/>
    <w:rsid w:val="00DB4B44"/>
    <w:rsid w:val="00E25128"/>
    <w:rsid w:val="00E401C2"/>
    <w:rsid w:val="00E42ADA"/>
    <w:rsid w:val="00E5333D"/>
    <w:rsid w:val="00E64B20"/>
    <w:rsid w:val="00E64D05"/>
    <w:rsid w:val="00E70831"/>
    <w:rsid w:val="00E70A4F"/>
    <w:rsid w:val="00E745BD"/>
    <w:rsid w:val="00E74F86"/>
    <w:rsid w:val="00E81215"/>
    <w:rsid w:val="00E8756C"/>
    <w:rsid w:val="00EC5B11"/>
    <w:rsid w:val="00ED2247"/>
    <w:rsid w:val="00EE547D"/>
    <w:rsid w:val="00F06628"/>
    <w:rsid w:val="00F16000"/>
    <w:rsid w:val="00F252EC"/>
    <w:rsid w:val="00F30C3C"/>
    <w:rsid w:val="00F55187"/>
    <w:rsid w:val="00F761F2"/>
    <w:rsid w:val="00F76B2D"/>
    <w:rsid w:val="00F8508B"/>
    <w:rsid w:val="00F902B2"/>
    <w:rsid w:val="00FB13AE"/>
    <w:rsid w:val="00FB312C"/>
    <w:rsid w:val="00FB394D"/>
    <w:rsid w:val="00FF584A"/>
    <w:rsid w:val="00FF79B7"/>
    <w:rsid w:val="051C2FC2"/>
    <w:rsid w:val="0D2708EF"/>
    <w:rsid w:val="12725775"/>
    <w:rsid w:val="1C295A60"/>
    <w:rsid w:val="1C5F2D58"/>
    <w:rsid w:val="1E4923EF"/>
    <w:rsid w:val="249E10B7"/>
    <w:rsid w:val="26A64E76"/>
    <w:rsid w:val="39254D25"/>
    <w:rsid w:val="3A3F7F3F"/>
    <w:rsid w:val="41820B42"/>
    <w:rsid w:val="4D957F70"/>
    <w:rsid w:val="68D23270"/>
    <w:rsid w:val="75E038CB"/>
    <w:rsid w:val="7F8C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00F4F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sid w:val="00600F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0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00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qFormat/>
    <w:rsid w:val="00600F4F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qFormat/>
    <w:rsid w:val="00600F4F"/>
    <w:rPr>
      <w:vertAlign w:val="superscript"/>
    </w:rPr>
  </w:style>
  <w:style w:type="character" w:customStyle="1" w:styleId="Char1">
    <w:name w:val="页眉 Char"/>
    <w:basedOn w:val="a0"/>
    <w:link w:val="a6"/>
    <w:uiPriority w:val="99"/>
    <w:qFormat/>
    <w:rsid w:val="00600F4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00F4F"/>
    <w:rPr>
      <w:sz w:val="18"/>
      <w:szCs w:val="18"/>
    </w:rPr>
  </w:style>
  <w:style w:type="paragraph" w:styleId="a9">
    <w:name w:val="List Paragraph"/>
    <w:basedOn w:val="a"/>
    <w:uiPriority w:val="34"/>
    <w:qFormat/>
    <w:rsid w:val="00600F4F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600F4F"/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qFormat/>
    <w:rsid w:val="00600F4F"/>
    <w:rPr>
      <w:sz w:val="18"/>
      <w:szCs w:val="18"/>
    </w:rPr>
  </w:style>
  <w:style w:type="character" w:customStyle="1" w:styleId="font31">
    <w:name w:val="font31"/>
    <w:basedOn w:val="a0"/>
    <w:qFormat/>
    <w:rsid w:val="00600F4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600F4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D3E07-2AF0-47EA-B0E2-236B54AF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235</Words>
  <Characters>1341</Characters>
  <Application>Microsoft Office Word</Application>
  <DocSecurity>0</DocSecurity>
  <Lines>11</Lines>
  <Paragraphs>3</Paragraphs>
  <ScaleCrop>false</ScaleCrop>
  <Company>微软中国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微软用户</cp:lastModifiedBy>
  <cp:revision>3</cp:revision>
  <dcterms:created xsi:type="dcterms:W3CDTF">2020-05-24T03:49:00Z</dcterms:created>
  <dcterms:modified xsi:type="dcterms:W3CDTF">2020-05-24T04:34:00Z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