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88" w:rsidRDefault="008A6488">
      <w:pPr>
        <w:spacing w:line="360" w:lineRule="auto"/>
        <w:jc w:val="center"/>
        <w:rPr>
          <w:rFonts w:ascii="Times New Roman" w:eastAsia="宋体" w:hAnsi="Times New Roman" w:cs="Times New Roman"/>
          <w:sz w:val="24"/>
          <w:szCs w:val="24"/>
        </w:rPr>
      </w:pPr>
    </w:p>
    <w:p w:rsidR="008A6488" w:rsidRDefault="00797D36">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201</w:t>
      </w:r>
      <w:r>
        <w:rPr>
          <w:rFonts w:ascii="Times New Roman" w:eastAsia="宋体" w:hAnsi="Times New Roman" w:cs="Times New Roman" w:hint="eastAsia"/>
          <w:b/>
          <w:sz w:val="30"/>
          <w:szCs w:val="30"/>
        </w:rPr>
        <w:t>9</w:t>
      </w:r>
      <w:r>
        <w:rPr>
          <w:rFonts w:ascii="Times New Roman" w:eastAsia="宋体" w:hAnsi="Times New Roman" w:cs="Times New Roman"/>
          <w:b/>
          <w:sz w:val="30"/>
          <w:szCs w:val="30"/>
        </w:rPr>
        <w:t>年</w:t>
      </w:r>
      <w:r w:rsidR="00842C75">
        <w:rPr>
          <w:rFonts w:ascii="Times New Roman" w:eastAsia="宋体" w:hAnsi="Times New Roman" w:cs="Times New Roman" w:hint="eastAsia"/>
          <w:b/>
          <w:sz w:val="30"/>
          <w:szCs w:val="30"/>
        </w:rPr>
        <w:t>9</w:t>
      </w:r>
      <w:r>
        <w:rPr>
          <w:rFonts w:ascii="Times New Roman" w:eastAsia="宋体" w:hAnsi="Times New Roman" w:cs="Times New Roman"/>
          <w:b/>
          <w:sz w:val="30"/>
          <w:szCs w:val="30"/>
        </w:rPr>
        <w:t>月）</w:t>
      </w:r>
    </w:p>
    <w:p w:rsidR="008A6488" w:rsidRDefault="008A6488">
      <w:pPr>
        <w:spacing w:line="360" w:lineRule="auto"/>
        <w:jc w:val="center"/>
        <w:rPr>
          <w:rFonts w:ascii="Times New Roman" w:eastAsia="宋体" w:hAnsi="Times New Roman" w:cs="Times New Roman"/>
          <w:b/>
          <w:sz w:val="30"/>
          <w:szCs w:val="30"/>
        </w:rPr>
      </w:pPr>
    </w:p>
    <w:p w:rsidR="008A6488" w:rsidRDefault="00797D36">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201</w:t>
      </w:r>
      <w:r>
        <w:rPr>
          <w:rFonts w:ascii="Times New Roman" w:eastAsia="宋体" w:hAnsi="Times New Roman" w:cs="Times New Roman" w:hint="eastAsia"/>
          <w:b/>
          <w:sz w:val="24"/>
          <w:szCs w:val="24"/>
        </w:rPr>
        <w:t>9</w:t>
      </w:r>
      <w:r>
        <w:rPr>
          <w:rFonts w:ascii="Times New Roman" w:eastAsia="宋体" w:hAnsi="Times New Roman" w:cs="Times New Roman" w:hint="eastAsia"/>
          <w:b/>
          <w:sz w:val="24"/>
          <w:szCs w:val="24"/>
        </w:rPr>
        <w:t>年</w:t>
      </w:r>
      <w:r w:rsidR="00842C75">
        <w:rPr>
          <w:rFonts w:ascii="Times New Roman" w:eastAsia="宋体" w:hAnsi="Times New Roman" w:cs="Times New Roman" w:hint="eastAsia"/>
          <w:b/>
          <w:sz w:val="24"/>
          <w:szCs w:val="24"/>
        </w:rPr>
        <w:t>9</w:t>
      </w:r>
      <w:r>
        <w:rPr>
          <w:rFonts w:ascii="Times New Roman" w:eastAsia="宋体" w:hAnsi="Times New Roman" w:cs="Times New Roman" w:hint="eastAsia"/>
          <w:b/>
          <w:sz w:val="24"/>
          <w:szCs w:val="24"/>
        </w:rPr>
        <w:t>月，加总的基于增加值人民币有效汇率上月环比贬值</w:t>
      </w:r>
      <w:r w:rsidR="00842C75">
        <w:rPr>
          <w:rFonts w:ascii="Times New Roman" w:eastAsia="宋体" w:hAnsi="Times New Roman" w:cs="Times New Roman" w:hint="eastAsia"/>
          <w:b/>
          <w:sz w:val="24"/>
          <w:szCs w:val="24"/>
        </w:rPr>
        <w:t>0.44</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842C75">
        <w:rPr>
          <w:rFonts w:ascii="Times New Roman" w:eastAsia="宋体" w:hAnsi="Times New Roman" w:cs="Times New Roman" w:hint="eastAsia"/>
          <w:b/>
          <w:sz w:val="24"/>
          <w:szCs w:val="24"/>
        </w:rPr>
        <w:t>2.11</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人民币名义有效汇率上月环比贬值</w:t>
      </w:r>
      <w:r w:rsidR="00842C75">
        <w:rPr>
          <w:rFonts w:ascii="Times New Roman" w:eastAsia="宋体" w:hAnsi="Times New Roman" w:cs="Times New Roman" w:hint="eastAsia"/>
          <w:sz w:val="24"/>
          <w:szCs w:val="24"/>
        </w:rPr>
        <w:t>0.61</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842C75">
        <w:rPr>
          <w:rFonts w:ascii="Times New Roman" w:eastAsia="宋体" w:hAnsi="Times New Roman" w:cs="Times New Roman" w:hint="eastAsia"/>
          <w:sz w:val="24"/>
          <w:szCs w:val="24"/>
        </w:rPr>
        <w:t>2.03</w:t>
      </w:r>
      <w:r>
        <w:rPr>
          <w:rFonts w:ascii="Times New Roman" w:eastAsia="宋体" w:hAnsi="Times New Roman" w:cs="Times New Roman"/>
          <w:sz w:val="24"/>
          <w:szCs w:val="24"/>
        </w:rPr>
        <w:t>%</w:t>
      </w:r>
      <w:r>
        <w:rPr>
          <w:rFonts w:ascii="Times New Roman" w:eastAsia="宋体" w:hAnsi="Times New Roman" w:cs="Times New Roman"/>
          <w:sz w:val="24"/>
          <w:szCs w:val="24"/>
        </w:rPr>
        <w:t>，增加值有效汇率</w:t>
      </w:r>
      <w:r>
        <w:rPr>
          <w:rFonts w:ascii="Times New Roman" w:eastAsia="宋体" w:hAnsi="Times New Roman" w:cs="Times New Roman" w:hint="eastAsia"/>
          <w:sz w:val="24"/>
          <w:szCs w:val="24"/>
        </w:rPr>
        <w:t>与</w:t>
      </w:r>
      <w:r>
        <w:rPr>
          <w:rFonts w:ascii="Times New Roman" w:eastAsia="宋体" w:hAnsi="Times New Roman" w:cs="Times New Roman"/>
          <w:sz w:val="24"/>
          <w:szCs w:val="24"/>
        </w:rPr>
        <w:t>BIS</w:t>
      </w:r>
      <w:r>
        <w:rPr>
          <w:rFonts w:ascii="Times New Roman" w:eastAsia="宋体" w:hAnsi="Times New Roman" w:cs="Times New Roman" w:hint="eastAsia"/>
          <w:sz w:val="24"/>
          <w:szCs w:val="24"/>
        </w:rPr>
        <w:t>有效汇率走势整体基本相当</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其他代表性传统汇率走势如下：</w:t>
      </w:r>
      <w:r>
        <w:rPr>
          <w:rFonts w:ascii="Times New Roman" w:eastAsia="宋体" w:hAnsi="Times New Roman" w:cs="Times New Roman"/>
          <w:sz w:val="24"/>
          <w:szCs w:val="24"/>
        </w:rPr>
        <w:t>BIS</w:t>
      </w:r>
      <w:r>
        <w:rPr>
          <w:rFonts w:ascii="Times New Roman" w:eastAsia="宋体" w:hAnsi="Times New Roman" w:cs="Times New Roman"/>
          <w:sz w:val="24"/>
          <w:szCs w:val="24"/>
        </w:rPr>
        <w:t>人民币实际有效汇率上月环比</w:t>
      </w:r>
      <w:r>
        <w:rPr>
          <w:rFonts w:ascii="Times New Roman" w:eastAsia="宋体" w:hAnsi="Times New Roman" w:cs="Times New Roman" w:hint="eastAsia"/>
          <w:sz w:val="24"/>
          <w:szCs w:val="24"/>
        </w:rPr>
        <w:t>升值</w:t>
      </w:r>
      <w:r>
        <w:rPr>
          <w:rFonts w:ascii="Times New Roman" w:eastAsia="宋体" w:hAnsi="Times New Roman" w:cs="Times New Roman" w:hint="eastAsia"/>
          <w:sz w:val="24"/>
          <w:szCs w:val="24"/>
        </w:rPr>
        <w:t>0.</w:t>
      </w:r>
      <w:r w:rsidR="00842C7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Times New Roman" w:cs="Times New Roman"/>
          <w:sz w:val="24"/>
          <w:szCs w:val="24"/>
        </w:rPr>
        <w:t>，上年同比</w:t>
      </w:r>
      <w:r w:rsidR="00842C75">
        <w:rPr>
          <w:rFonts w:ascii="Times New Roman" w:eastAsia="宋体" w:hAnsi="Times New Roman" w:cs="Times New Roman" w:hint="eastAsia"/>
          <w:sz w:val="24"/>
          <w:szCs w:val="24"/>
        </w:rPr>
        <w:t>贬值</w:t>
      </w:r>
      <w:r w:rsidR="00842C75">
        <w:rPr>
          <w:rFonts w:ascii="Times New Roman" w:eastAsia="宋体" w:hAnsi="Times New Roman" w:cs="Times New Roman" w:hint="eastAsia"/>
          <w:sz w:val="24"/>
          <w:szCs w:val="24"/>
        </w:rPr>
        <w:t>0.45</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 xml:space="preserve">CFETS </w:t>
      </w:r>
      <w:r>
        <w:rPr>
          <w:rFonts w:ascii="Times New Roman" w:eastAsia="宋体" w:hAnsi="Times New Roman" w:cs="Times New Roman"/>
          <w:sz w:val="24"/>
          <w:szCs w:val="24"/>
        </w:rPr>
        <w:t>货币篮子人民币汇率指数上月环比</w:t>
      </w:r>
      <w:r w:rsidR="00842C75">
        <w:rPr>
          <w:rFonts w:ascii="Times New Roman" w:eastAsia="宋体" w:hAnsi="Times New Roman" w:cs="Times New Roman" w:hint="eastAsia"/>
          <w:sz w:val="24"/>
          <w:szCs w:val="24"/>
        </w:rPr>
        <w:t>升值</w:t>
      </w:r>
      <w:r w:rsidR="00842C75">
        <w:rPr>
          <w:rFonts w:ascii="Times New Roman" w:eastAsia="宋体" w:hAnsi="Times New Roman" w:cs="Times New Roman" w:hint="eastAsia"/>
          <w:sz w:val="24"/>
          <w:szCs w:val="24"/>
        </w:rPr>
        <w:t>0.36</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842C75">
        <w:rPr>
          <w:rFonts w:ascii="Times New Roman" w:eastAsia="宋体" w:hAnsi="Times New Roman" w:cs="Times New Roman" w:hint="eastAsia"/>
          <w:sz w:val="24"/>
          <w:szCs w:val="24"/>
        </w:rPr>
        <w:t>0.89</w:t>
      </w:r>
      <w:r>
        <w:rPr>
          <w:rFonts w:ascii="Times New Roman" w:eastAsia="宋体" w:hAnsi="Times New Roman" w:cs="Times New Roman"/>
          <w:sz w:val="24"/>
          <w:szCs w:val="24"/>
        </w:rPr>
        <w:t>%</w:t>
      </w:r>
      <w:r>
        <w:rPr>
          <w:rFonts w:ascii="Times New Roman" w:eastAsia="宋体" w:hAnsi="Times New Roman" w:cs="Times New Roman"/>
          <w:sz w:val="24"/>
          <w:szCs w:val="24"/>
        </w:rPr>
        <w:t>；基于</w:t>
      </w:r>
      <w:r>
        <w:rPr>
          <w:rFonts w:ascii="Times New Roman" w:eastAsia="宋体" w:hAnsi="Times New Roman" w:cs="Times New Roman"/>
          <w:sz w:val="24"/>
          <w:szCs w:val="24"/>
        </w:rPr>
        <w:t>SDR</w:t>
      </w:r>
      <w:r>
        <w:rPr>
          <w:rFonts w:ascii="Times New Roman" w:eastAsia="宋体" w:hAnsi="Times New Roman" w:cs="Times New Roman"/>
          <w:sz w:val="24"/>
          <w:szCs w:val="24"/>
        </w:rPr>
        <w:t>货币篮子人民币指数上月环比</w:t>
      </w:r>
      <w:r w:rsidR="00842C75">
        <w:rPr>
          <w:rFonts w:ascii="Times New Roman" w:eastAsia="宋体" w:hAnsi="Times New Roman" w:cs="Times New Roman" w:hint="eastAsia"/>
          <w:sz w:val="24"/>
          <w:szCs w:val="24"/>
        </w:rPr>
        <w:t>升值</w:t>
      </w:r>
      <w:r>
        <w:rPr>
          <w:rFonts w:ascii="Times New Roman" w:eastAsia="宋体" w:hAnsi="Times New Roman" w:cs="Times New Roman" w:hint="eastAsia"/>
          <w:sz w:val="24"/>
          <w:szCs w:val="24"/>
        </w:rPr>
        <w:t>0.</w:t>
      </w:r>
      <w:r w:rsidR="00842C75">
        <w:rPr>
          <w:rFonts w:ascii="Times New Roman" w:eastAsia="宋体" w:hAnsi="Times New Roman" w:cs="Times New Roman" w:hint="eastAsia"/>
          <w:sz w:val="24"/>
          <w:szCs w:val="24"/>
        </w:rPr>
        <w:t>71</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842C75">
        <w:rPr>
          <w:rFonts w:ascii="Times New Roman" w:eastAsia="宋体" w:hAnsi="Times New Roman" w:cs="Times New Roman" w:hint="eastAsia"/>
          <w:sz w:val="24"/>
          <w:szCs w:val="24"/>
        </w:rPr>
        <w:t>0.62</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基于增加值人民币有效汇率</w:t>
      </w:r>
      <w:r w:rsidR="00842C75">
        <w:rPr>
          <w:rFonts w:ascii="Times New Roman" w:eastAsia="宋体" w:hAnsi="Times New Roman" w:cs="Times New Roman" w:hint="eastAsia"/>
          <w:sz w:val="24"/>
          <w:szCs w:val="24"/>
        </w:rPr>
        <w:t>同比</w:t>
      </w:r>
      <w:r>
        <w:rPr>
          <w:rFonts w:ascii="Times New Roman" w:eastAsia="宋体" w:hAnsi="Times New Roman" w:cs="Times New Roman" w:hint="eastAsia"/>
          <w:sz w:val="24"/>
          <w:szCs w:val="24"/>
        </w:rPr>
        <w:t>贬值幅度略高于</w:t>
      </w:r>
      <w:r>
        <w:rPr>
          <w:rFonts w:ascii="Times New Roman" w:eastAsia="宋体" w:hAnsi="Times New Roman" w:cs="Times New Roman" w:hint="eastAsia"/>
          <w:sz w:val="24"/>
          <w:szCs w:val="24"/>
        </w:rPr>
        <w:t>BIS</w:t>
      </w:r>
      <w:r>
        <w:rPr>
          <w:rFonts w:ascii="Times New Roman" w:eastAsia="宋体" w:hAnsi="Times New Roman" w:cs="Times New Roman" w:hint="eastAsia"/>
          <w:sz w:val="24"/>
          <w:szCs w:val="24"/>
        </w:rPr>
        <w:t>与主要篮子货币</w:t>
      </w:r>
      <w:r w:rsidR="00842C75">
        <w:rPr>
          <w:rFonts w:ascii="Times New Roman" w:eastAsia="宋体" w:hAnsi="Times New Roman" w:cs="Times New Roman" w:hint="eastAsia"/>
          <w:sz w:val="24"/>
          <w:szCs w:val="24"/>
        </w:rPr>
        <w:t>，环比升贬值态势与主要篮子货币相反</w:t>
      </w:r>
      <w:r>
        <w:rPr>
          <w:rFonts w:ascii="Times New Roman" w:eastAsia="宋体" w:hAnsi="Times New Roman" w:cs="Times New Roman" w:hint="eastAsia"/>
          <w:sz w:val="24"/>
          <w:szCs w:val="24"/>
        </w:rPr>
        <w:t>。</w:t>
      </w:r>
    </w:p>
    <w:p w:rsidR="008A6488" w:rsidRDefault="00797D36">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可贸易品有效汇率上月贬值</w:t>
      </w:r>
      <w:r w:rsidR="00842C75">
        <w:rPr>
          <w:rFonts w:ascii="Times New Roman" w:eastAsia="宋体" w:hAnsi="Times New Roman" w:cs="Times New Roman" w:hint="eastAsia"/>
          <w:sz w:val="24"/>
          <w:szCs w:val="24"/>
        </w:rPr>
        <w:t>0.35</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842C75">
        <w:rPr>
          <w:rFonts w:ascii="Times New Roman" w:eastAsia="宋体" w:hAnsi="Times New Roman" w:cs="Times New Roman" w:hint="eastAsia"/>
          <w:sz w:val="24"/>
          <w:szCs w:val="24"/>
        </w:rPr>
        <w:t>2.04</w:t>
      </w:r>
      <w:r>
        <w:rPr>
          <w:rFonts w:ascii="Times New Roman" w:eastAsia="宋体" w:hAnsi="Times New Roman" w:cs="Times New Roman"/>
          <w:sz w:val="24"/>
          <w:szCs w:val="24"/>
        </w:rPr>
        <w:t>%</w:t>
      </w:r>
      <w:r>
        <w:rPr>
          <w:rFonts w:ascii="Times New Roman" w:eastAsia="宋体" w:hAnsi="Times New Roman" w:cs="Times New Roman"/>
          <w:sz w:val="24"/>
          <w:szCs w:val="24"/>
        </w:rPr>
        <w:t>；不可贸易品有效汇率上月贬值</w:t>
      </w:r>
      <w:r w:rsidR="00842C75">
        <w:rPr>
          <w:rFonts w:ascii="Times New Roman" w:eastAsia="宋体" w:hAnsi="Times New Roman" w:cs="Times New Roman" w:hint="eastAsia"/>
          <w:sz w:val="24"/>
          <w:szCs w:val="24"/>
        </w:rPr>
        <w:t>0.42</w:t>
      </w:r>
      <w:r>
        <w:rPr>
          <w:rFonts w:ascii="Times New Roman" w:eastAsia="宋体" w:hAnsi="Times New Roman" w:cs="Times New Roman"/>
          <w:sz w:val="24"/>
          <w:szCs w:val="24"/>
        </w:rPr>
        <w:t>%</w:t>
      </w:r>
      <w:r>
        <w:rPr>
          <w:rFonts w:ascii="Times New Roman" w:eastAsia="宋体" w:hAnsi="Times New Roman" w:cs="Times New Roman"/>
          <w:sz w:val="24"/>
          <w:szCs w:val="24"/>
        </w:rPr>
        <w:t>，上年同比贬值</w:t>
      </w:r>
      <w:r w:rsidR="00842C75">
        <w:rPr>
          <w:rFonts w:ascii="Times New Roman" w:eastAsia="宋体" w:hAnsi="Times New Roman" w:cs="Times New Roman" w:hint="eastAsia"/>
          <w:sz w:val="24"/>
          <w:szCs w:val="24"/>
        </w:rPr>
        <w:t>1.78</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两者与加总情形基本下汇率变动基本一致。</w:t>
      </w:r>
    </w:p>
    <w:p w:rsidR="008A6488" w:rsidRDefault="00797D36">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分行业来看，所有行业出现贬值。</w:t>
      </w:r>
      <w:r w:rsidR="00200E0E" w:rsidRPr="00200E0E">
        <w:rPr>
          <w:rFonts w:ascii="Times New Roman" w:eastAsia="宋体" w:hAnsi="Times New Roman" w:cs="Times New Roman" w:hint="eastAsia"/>
          <w:sz w:val="24"/>
          <w:szCs w:val="24"/>
        </w:rPr>
        <w:t>9</w:t>
      </w:r>
      <w:r w:rsidR="00200E0E" w:rsidRPr="00200E0E">
        <w:rPr>
          <w:rFonts w:ascii="Times New Roman" w:eastAsia="宋体" w:hAnsi="Times New Roman" w:cs="Times New Roman" w:hint="eastAsia"/>
          <w:sz w:val="24"/>
          <w:szCs w:val="24"/>
        </w:rPr>
        <w:t>月</w:t>
      </w:r>
      <w:r>
        <w:rPr>
          <w:rFonts w:ascii="Times New Roman" w:eastAsia="宋体" w:hAnsi="Times New Roman" w:cs="Times New Roman"/>
          <w:sz w:val="24"/>
          <w:szCs w:val="24"/>
        </w:rPr>
        <w:t>33</w:t>
      </w:r>
      <w:r>
        <w:rPr>
          <w:rFonts w:ascii="Times New Roman" w:eastAsia="宋体" w:hAnsi="Times New Roman" w:cs="Times New Roman"/>
          <w:sz w:val="24"/>
          <w:szCs w:val="24"/>
        </w:rPr>
        <w:t>个行业的基于增加值人民币有效汇率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环比和</w:t>
      </w:r>
      <w:r>
        <w:rPr>
          <w:rFonts w:ascii="Times New Roman" w:eastAsia="宋体" w:hAnsi="Times New Roman" w:cs="Times New Roman" w:hint="eastAsia"/>
          <w:sz w:val="24"/>
          <w:szCs w:val="24"/>
        </w:rPr>
        <w:t>上年</w:t>
      </w:r>
      <w:r>
        <w:rPr>
          <w:rFonts w:ascii="Times New Roman" w:eastAsia="宋体" w:hAnsi="Times New Roman" w:cs="Times New Roman"/>
          <w:sz w:val="24"/>
          <w:szCs w:val="24"/>
        </w:rPr>
        <w:t>同比均现贬值态势</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，贬值幅度</w:t>
      </w:r>
      <w:r>
        <w:rPr>
          <w:rFonts w:ascii="Times New Roman" w:eastAsia="宋体" w:hAnsi="Times New Roman" w:cs="Times New Roman" w:hint="eastAsia"/>
          <w:sz w:val="24"/>
          <w:szCs w:val="24"/>
        </w:rPr>
        <w:t>差异也不是很大</w:t>
      </w:r>
      <w:r>
        <w:rPr>
          <w:rFonts w:ascii="Times New Roman" w:eastAsia="宋体" w:hAnsi="Times New Roman" w:cs="Times New Roman"/>
          <w:sz w:val="24"/>
          <w:szCs w:val="24"/>
        </w:rPr>
        <w:t>，环比最大差异为</w:t>
      </w:r>
      <w:r>
        <w:rPr>
          <w:rFonts w:ascii="Times New Roman" w:eastAsia="宋体" w:hAnsi="Times New Roman" w:cs="Times New Roman"/>
          <w:sz w:val="24"/>
          <w:szCs w:val="24"/>
        </w:rPr>
        <w:t>0.</w:t>
      </w:r>
      <w:r w:rsidR="00842C75">
        <w:rPr>
          <w:rFonts w:ascii="Times New Roman" w:eastAsia="宋体" w:hAnsi="Times New Roman" w:cs="Times New Roman" w:hint="eastAsia"/>
          <w:sz w:val="24"/>
          <w:szCs w:val="24"/>
        </w:rPr>
        <w:t>89</w:t>
      </w:r>
      <w:r>
        <w:rPr>
          <w:rFonts w:ascii="Times New Roman" w:eastAsia="宋体" w:hAnsi="Times New Roman" w:cs="Times New Roman"/>
          <w:sz w:val="24"/>
          <w:szCs w:val="24"/>
        </w:rPr>
        <w:t>个百分点，同比最大差异为</w:t>
      </w:r>
      <w:r w:rsidR="00842C75">
        <w:rPr>
          <w:rFonts w:ascii="Times New Roman" w:eastAsia="宋体" w:hAnsi="Times New Roman" w:cs="Times New Roman" w:hint="eastAsia"/>
          <w:sz w:val="24"/>
          <w:szCs w:val="24"/>
        </w:rPr>
        <w:t>3.76</w:t>
      </w:r>
      <w:r>
        <w:rPr>
          <w:rFonts w:ascii="Times New Roman" w:eastAsia="宋体" w:hAnsi="Times New Roman" w:cs="Times New Roman"/>
          <w:sz w:val="24"/>
          <w:szCs w:val="24"/>
        </w:rPr>
        <w:t>个百分点。环比贬值幅度最高的三个行业为</w:t>
      </w:r>
      <w:r>
        <w:rPr>
          <w:rFonts w:ascii="Times New Roman" w:eastAsia="宋体" w:hAnsi="Times New Roman" w:cs="Times New Roman"/>
          <w:sz w:val="24"/>
          <w:szCs w:val="24"/>
        </w:rPr>
        <w:t>“</w:t>
      </w:r>
      <w:r w:rsidR="00842C75" w:rsidRPr="00842C75">
        <w:rPr>
          <w:rFonts w:ascii="Times New Roman" w:eastAsia="宋体" w:hAnsi="Times New Roman" w:cs="Times New Roman" w:hint="eastAsia"/>
          <w:sz w:val="24"/>
          <w:szCs w:val="24"/>
        </w:rPr>
        <w:t>采矿和采石业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842C75" w:rsidRPr="00842C75">
        <w:rPr>
          <w:rFonts w:ascii="Times New Roman" w:eastAsia="宋体" w:hAnsi="Times New Roman" w:cs="Times New Roman" w:hint="eastAsia"/>
          <w:sz w:val="24"/>
          <w:szCs w:val="24"/>
        </w:rPr>
        <w:t>公共管理和国防业；强制性社会保障</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842C75" w:rsidRPr="00842C75">
        <w:rPr>
          <w:rFonts w:ascii="Times New Roman" w:eastAsia="宋体" w:hAnsi="Times New Roman" w:cs="Times New Roman" w:hint="eastAsia"/>
          <w:sz w:val="24"/>
          <w:szCs w:val="24"/>
        </w:rPr>
        <w:t>零售贸易（除了汽车和摩托车）</w:t>
      </w:r>
      <w:r w:rsidR="00842C75" w:rsidRPr="00842C75">
        <w:rPr>
          <w:rFonts w:ascii="Times New Roman" w:eastAsia="宋体" w:hAnsi="Times New Roman" w:cs="Times New Roman"/>
          <w:sz w:val="24"/>
          <w:szCs w:val="24"/>
        </w:rPr>
        <w:t>,</w:t>
      </w:r>
      <w:r w:rsidR="00842C75" w:rsidRPr="00842C75">
        <w:rPr>
          <w:rFonts w:ascii="Times New Roman" w:eastAsia="宋体" w:hAnsi="Times New Roman" w:cs="Times New Roman"/>
          <w:sz w:val="24"/>
          <w:szCs w:val="24"/>
        </w:rPr>
        <w:t>家用商品修理</w:t>
      </w:r>
      <w:r>
        <w:rPr>
          <w:rFonts w:ascii="Times New Roman" w:eastAsia="宋体" w:hAnsi="Times New Roman" w:cs="Times New Roman"/>
          <w:sz w:val="24"/>
          <w:szCs w:val="24"/>
        </w:rPr>
        <w:t>”</w:t>
      </w:r>
      <w:r>
        <w:rPr>
          <w:rFonts w:ascii="Times New Roman" w:eastAsia="宋体" w:hAnsi="Times New Roman" w:cs="Times New Roman"/>
          <w:sz w:val="24"/>
          <w:szCs w:val="24"/>
        </w:rPr>
        <w:t>，环比贬值幅度最低的三个行业为</w:t>
      </w:r>
      <w:r>
        <w:rPr>
          <w:rFonts w:ascii="Times New Roman" w:eastAsia="宋体" w:hAnsi="Times New Roman" w:cs="Times New Roman"/>
          <w:sz w:val="24"/>
          <w:szCs w:val="24"/>
        </w:rPr>
        <w:t>“</w:t>
      </w:r>
      <w:r w:rsidR="00842C75" w:rsidRPr="00842C75">
        <w:rPr>
          <w:rFonts w:ascii="Times New Roman" w:eastAsia="宋体" w:hAnsi="Times New Roman" w:cs="Times New Roman" w:hint="eastAsia"/>
          <w:sz w:val="24"/>
          <w:szCs w:val="24"/>
        </w:rPr>
        <w:t>皮革</w:t>
      </w:r>
      <w:r w:rsidR="00842C75" w:rsidRPr="00842C75">
        <w:rPr>
          <w:rFonts w:ascii="Times New Roman" w:eastAsia="宋体" w:hAnsi="Times New Roman" w:cs="Times New Roman"/>
          <w:sz w:val="24"/>
          <w:szCs w:val="24"/>
        </w:rPr>
        <w:t>,</w:t>
      </w:r>
      <w:r w:rsidR="00842C75" w:rsidRPr="00842C75">
        <w:rPr>
          <w:rFonts w:ascii="Times New Roman" w:eastAsia="宋体" w:hAnsi="Times New Roman" w:cs="Times New Roman"/>
          <w:sz w:val="24"/>
          <w:szCs w:val="24"/>
        </w:rPr>
        <w:t>皮革制品和鞋业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842C75" w:rsidRPr="00842C75">
        <w:rPr>
          <w:rFonts w:ascii="Times New Roman" w:eastAsia="宋体" w:hAnsi="Times New Roman" w:cs="Times New Roman" w:hint="eastAsia"/>
          <w:sz w:val="24"/>
          <w:szCs w:val="24"/>
        </w:rPr>
        <w:t>建筑业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842C75" w:rsidRPr="00842C75">
        <w:rPr>
          <w:rFonts w:ascii="Times New Roman" w:eastAsia="宋体" w:hAnsi="Times New Roman" w:cs="Times New Roman" w:hint="eastAsia"/>
          <w:sz w:val="24"/>
          <w:szCs w:val="24"/>
        </w:rPr>
        <w:t>水路运输业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Pr>
          <w:rFonts w:ascii="Times New Roman" w:eastAsia="宋体" w:hAnsi="Times New Roman" w:cs="Times New Roman"/>
          <w:sz w:val="24"/>
          <w:szCs w:val="24"/>
        </w:rPr>
        <w:t>“</w:t>
      </w:r>
      <w:r>
        <w:rPr>
          <w:rFonts w:ascii="Times New Roman" w:eastAsia="宋体" w:hAnsi="Times New Roman" w:cs="Times New Roman"/>
          <w:sz w:val="24"/>
          <w:szCs w:val="24"/>
        </w:rPr>
        <w:t>石油加工、炼焦及核燃料加工业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7B529B" w:rsidRPr="007B529B">
        <w:rPr>
          <w:rFonts w:ascii="Times New Roman" w:eastAsia="宋体" w:hAnsi="Times New Roman" w:cs="Times New Roman" w:hint="eastAsia"/>
          <w:sz w:val="24"/>
          <w:szCs w:val="24"/>
        </w:rPr>
        <w:t>农林牧渔业</w:t>
      </w:r>
      <w:r>
        <w:rPr>
          <w:rFonts w:ascii="Times New Roman" w:eastAsia="宋体" w:hAnsi="Times New Roman" w:cs="Times New Roman"/>
          <w:sz w:val="24"/>
          <w:szCs w:val="24"/>
        </w:rPr>
        <w:t>”</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7B529B" w:rsidRPr="007B529B">
        <w:rPr>
          <w:rFonts w:ascii="Times New Roman" w:eastAsia="宋体" w:hAnsi="Times New Roman" w:cs="Times New Roman" w:hint="eastAsia"/>
          <w:sz w:val="24"/>
          <w:szCs w:val="24"/>
        </w:rPr>
        <w:t>纺织材料和纺织制品业</w:t>
      </w:r>
      <w:r>
        <w:rPr>
          <w:rFonts w:ascii="Times New Roman" w:eastAsia="宋体" w:hAnsi="Times New Roman" w:cs="Times New Roman"/>
          <w:sz w:val="24"/>
          <w:szCs w:val="24"/>
        </w:rPr>
        <w:t>”</w:t>
      </w:r>
      <w:r>
        <w:rPr>
          <w:rFonts w:ascii="Times New Roman" w:eastAsia="宋体" w:hAnsi="Times New Roman" w:cs="Times New Roman"/>
          <w:sz w:val="24"/>
          <w:szCs w:val="24"/>
        </w:rPr>
        <w:t>，同比贬值幅度最低的三个行业为</w:t>
      </w:r>
      <w:r w:rsidR="007B529B">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教育</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7B529B" w:rsidRPr="007B529B">
        <w:rPr>
          <w:rFonts w:ascii="Times New Roman" w:eastAsia="宋体" w:hAnsi="Times New Roman" w:cs="Times New Roman"/>
          <w:sz w:val="24"/>
          <w:szCs w:val="24"/>
        </w:rPr>
        <w:t xml:space="preserve"> </w:t>
      </w:r>
      <w:r w:rsidR="007B529B">
        <w:rPr>
          <w:rFonts w:ascii="Times New Roman" w:eastAsia="宋体" w:hAnsi="Times New Roman" w:cs="Times New Roman"/>
          <w:sz w:val="24"/>
          <w:szCs w:val="24"/>
        </w:rPr>
        <w:t>“</w:t>
      </w:r>
      <w:r w:rsidR="007B529B">
        <w:rPr>
          <w:rFonts w:ascii="Times New Roman" w:eastAsia="宋体" w:hAnsi="Times New Roman" w:cs="Times New Roman" w:hint="eastAsia"/>
          <w:sz w:val="24"/>
          <w:szCs w:val="24"/>
        </w:rPr>
        <w:t>建筑业</w:t>
      </w:r>
      <w:r w:rsidR="007B529B">
        <w:rPr>
          <w:rFonts w:ascii="Times New Roman" w:eastAsia="宋体" w:hAnsi="Times New Roman" w:cs="Times New Roman"/>
          <w:sz w:val="24"/>
          <w:szCs w:val="24"/>
        </w:rPr>
        <w:t>”</w:t>
      </w:r>
      <w:r w:rsidR="007B529B">
        <w:rPr>
          <w:rFonts w:ascii="Times New Roman" w:eastAsia="宋体" w:hAnsi="Times New Roman" w:cs="Times New Roman"/>
          <w:sz w:val="24"/>
          <w:szCs w:val="24"/>
        </w:rPr>
        <w:t>、</w:t>
      </w:r>
      <w:r>
        <w:rPr>
          <w:rFonts w:ascii="Times New Roman" w:eastAsia="宋体" w:hAnsi="Times New Roman" w:cs="Times New Roman"/>
          <w:sz w:val="24"/>
          <w:szCs w:val="24"/>
        </w:rPr>
        <w:t>“</w:t>
      </w:r>
      <w:r w:rsidR="007B529B" w:rsidRPr="007B529B">
        <w:rPr>
          <w:rFonts w:ascii="Times New Roman" w:eastAsia="宋体" w:hAnsi="Times New Roman" w:cs="Times New Roman" w:hint="eastAsia"/>
          <w:sz w:val="24"/>
          <w:szCs w:val="24"/>
        </w:rPr>
        <w:t>皮革</w:t>
      </w:r>
      <w:r w:rsidR="007B529B" w:rsidRPr="007B529B">
        <w:rPr>
          <w:rFonts w:ascii="Times New Roman" w:eastAsia="宋体" w:hAnsi="Times New Roman" w:cs="Times New Roman"/>
          <w:sz w:val="24"/>
          <w:szCs w:val="24"/>
        </w:rPr>
        <w:t>,</w:t>
      </w:r>
      <w:r w:rsidR="007B529B" w:rsidRPr="007B529B">
        <w:rPr>
          <w:rFonts w:ascii="Times New Roman" w:eastAsia="宋体" w:hAnsi="Times New Roman" w:cs="Times New Roman"/>
          <w:sz w:val="24"/>
          <w:szCs w:val="24"/>
        </w:rPr>
        <w:t>皮革制品和鞋业</w:t>
      </w:r>
      <w:r>
        <w:rPr>
          <w:rFonts w:ascii="Times New Roman" w:eastAsia="宋体" w:hAnsi="Times New Roman" w:cs="Times New Roman"/>
          <w:sz w:val="24"/>
          <w:szCs w:val="24"/>
        </w:rPr>
        <w:t>”</w:t>
      </w:r>
      <w:r>
        <w:rPr>
          <w:rFonts w:ascii="Times New Roman" w:eastAsia="宋体" w:hAnsi="Times New Roman" w:cs="Times New Roman"/>
          <w:sz w:val="24"/>
          <w:szCs w:val="24"/>
        </w:rPr>
        <w:t>。</w:t>
      </w:r>
    </w:p>
    <w:p w:rsidR="008A6488" w:rsidRDefault="008A6488">
      <w:pPr>
        <w:spacing w:line="360" w:lineRule="auto"/>
        <w:ind w:firstLine="420"/>
        <w:jc w:val="right"/>
        <w:rPr>
          <w:rFonts w:ascii="Times New Roman" w:eastAsia="宋体" w:hAnsi="Times New Roman" w:cs="Times New Roman"/>
          <w:sz w:val="24"/>
          <w:szCs w:val="24"/>
        </w:rPr>
      </w:pPr>
    </w:p>
    <w:p w:rsidR="008A6488" w:rsidRDefault="00797D36">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Pr>
            <w:rStyle w:val="a7"/>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rsidR="008A6488" w:rsidRDefault="00797D36">
      <w:pPr>
        <w:pStyle w:val="a3"/>
        <w:keepNext/>
        <w:jc w:val="center"/>
        <w:rPr>
          <w:rFonts w:ascii="黑体" w:hAnsi="黑体" w:cs="Times New Roman"/>
        </w:rPr>
      </w:pPr>
      <w:r>
        <w:rPr>
          <w:rFonts w:ascii="黑体" w:hAnsi="黑体" w:cs="Times New Roman"/>
        </w:rPr>
        <w:lastRenderedPageBreak/>
        <w:t xml:space="preserve">图 </w:t>
      </w:r>
      <w:r w:rsidR="00BF7838">
        <w:rPr>
          <w:rFonts w:ascii="黑体" w:hAnsi="黑体" w:cs="Times New Roman"/>
        </w:rPr>
        <w:fldChar w:fldCharType="begin"/>
      </w:r>
      <w:r>
        <w:rPr>
          <w:rFonts w:ascii="黑体" w:hAnsi="黑体" w:cs="Times New Roman"/>
        </w:rPr>
        <w:instrText xml:space="preserve"> SEQ 图 \* ARABIC </w:instrText>
      </w:r>
      <w:r w:rsidR="00BF7838">
        <w:rPr>
          <w:rFonts w:ascii="黑体" w:hAnsi="黑体" w:cs="Times New Roman"/>
        </w:rPr>
        <w:fldChar w:fldCharType="separate"/>
      </w:r>
      <w:r>
        <w:rPr>
          <w:rFonts w:ascii="黑体" w:hAnsi="黑体" w:cs="Times New Roman"/>
        </w:rPr>
        <w:t>1</w:t>
      </w:r>
      <w:r w:rsidR="00BF7838">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rsidR="008A6488" w:rsidRDefault="00F02E39">
      <w:pPr>
        <w:spacing w:line="360" w:lineRule="auto"/>
        <w:ind w:firstLine="420"/>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200281"/>
            <wp:effectExtent l="19050" t="0" r="2540" b="0"/>
            <wp:docPr id="2" name="图片 1" descr="C:\Users\Administrator\AppData\Local\Temp\15854566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Temp\1585456603(1).png"/>
                    <pic:cNvPicPr>
                      <a:picLocks noChangeAspect="1" noChangeArrowheads="1"/>
                    </pic:cNvPicPr>
                  </pic:nvPicPr>
                  <pic:blipFill>
                    <a:blip r:embed="rId9" cstate="print"/>
                    <a:srcRect/>
                    <a:stretch>
                      <a:fillRect/>
                    </a:stretch>
                  </pic:blipFill>
                  <pic:spPr bwMode="auto">
                    <a:xfrm>
                      <a:off x="0" y="0"/>
                      <a:ext cx="5274310" cy="3200281"/>
                    </a:xfrm>
                    <a:prstGeom prst="rect">
                      <a:avLst/>
                    </a:prstGeom>
                    <a:noFill/>
                    <a:ln w="9525">
                      <a:noFill/>
                      <a:miter lim="800000"/>
                      <a:headEnd/>
                      <a:tailEnd/>
                    </a:ln>
                  </pic:spPr>
                </pic:pic>
              </a:graphicData>
            </a:graphic>
          </wp:inline>
        </w:drawing>
      </w:r>
    </w:p>
    <w:p w:rsidR="008A6488" w:rsidRDefault="00797D36">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rsidR="008A6488" w:rsidRDefault="00797D36">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rsidR="008A6488" w:rsidRDefault="008A6488">
      <w:pPr>
        <w:spacing w:line="360" w:lineRule="auto"/>
        <w:rPr>
          <w:rFonts w:ascii="Times New Roman" w:eastAsia="宋体" w:hAnsi="Times New Roman" w:cs="Times New Roman"/>
          <w:sz w:val="24"/>
          <w:szCs w:val="24"/>
        </w:rPr>
      </w:pPr>
    </w:p>
    <w:p w:rsidR="008A6488" w:rsidRDefault="00797D36">
      <w:pPr>
        <w:pStyle w:val="a3"/>
        <w:keepNext/>
        <w:jc w:val="center"/>
        <w:rPr>
          <w:rFonts w:ascii="黑体" w:hAnsi="黑体" w:cs="Times New Roman"/>
        </w:rPr>
      </w:pPr>
      <w:r>
        <w:rPr>
          <w:rFonts w:ascii="黑体" w:hAnsi="黑体" w:cs="Times New Roman"/>
        </w:rPr>
        <w:t xml:space="preserve">图 </w:t>
      </w:r>
      <w:r w:rsidR="00BF7838">
        <w:rPr>
          <w:rFonts w:ascii="黑体" w:hAnsi="黑体" w:cs="Times New Roman"/>
        </w:rPr>
        <w:fldChar w:fldCharType="begin"/>
      </w:r>
      <w:r>
        <w:rPr>
          <w:rFonts w:ascii="黑体" w:hAnsi="黑体" w:cs="Times New Roman"/>
        </w:rPr>
        <w:instrText xml:space="preserve"> SEQ 图 \* ARABIC </w:instrText>
      </w:r>
      <w:r w:rsidR="00BF7838">
        <w:rPr>
          <w:rFonts w:ascii="黑体" w:hAnsi="黑体" w:cs="Times New Roman"/>
        </w:rPr>
        <w:fldChar w:fldCharType="separate"/>
      </w:r>
      <w:r>
        <w:rPr>
          <w:rFonts w:ascii="黑体" w:hAnsi="黑体" w:cs="Times New Roman"/>
        </w:rPr>
        <w:t>2</w:t>
      </w:r>
      <w:r w:rsidR="00BF7838">
        <w:rPr>
          <w:rFonts w:ascii="黑体" w:hAnsi="黑体" w:cs="Times New Roman"/>
        </w:rPr>
        <w:fldChar w:fldCharType="end"/>
      </w:r>
      <w:r>
        <w:rPr>
          <w:rFonts w:ascii="黑体" w:hAnsi="黑体" w:cs="Times New Roman"/>
        </w:rPr>
        <w:t>基于增加值人民币有效汇率：可贸易品</w:t>
      </w:r>
      <w:proofErr w:type="spellStart"/>
      <w:r>
        <w:rPr>
          <w:rFonts w:ascii="黑体" w:hAnsi="黑体" w:cs="Times New Roman"/>
        </w:rPr>
        <w:t>vs</w:t>
      </w:r>
      <w:proofErr w:type="spellEnd"/>
      <w:r>
        <w:rPr>
          <w:rFonts w:ascii="黑体" w:hAnsi="黑体" w:cs="Times New Roman"/>
        </w:rPr>
        <w:t>不可贸易品</w:t>
      </w:r>
    </w:p>
    <w:p w:rsidR="008A6488" w:rsidRDefault="00F02E39">
      <w:pPr>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5274310" cy="3214346"/>
            <wp:effectExtent l="19050" t="0" r="2540" b="0"/>
            <wp:docPr id="5" name="图片 3" descr="C:\Users\Administrator\AppData\Local\Temp\15854567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Temp\1585456741(1).png"/>
                    <pic:cNvPicPr>
                      <a:picLocks noChangeAspect="1" noChangeArrowheads="1"/>
                    </pic:cNvPicPr>
                  </pic:nvPicPr>
                  <pic:blipFill>
                    <a:blip r:embed="rId10" cstate="print"/>
                    <a:srcRect/>
                    <a:stretch>
                      <a:fillRect/>
                    </a:stretch>
                  </pic:blipFill>
                  <pic:spPr bwMode="auto">
                    <a:xfrm>
                      <a:off x="0" y="0"/>
                      <a:ext cx="5274310" cy="3214346"/>
                    </a:xfrm>
                    <a:prstGeom prst="rect">
                      <a:avLst/>
                    </a:prstGeom>
                    <a:noFill/>
                    <a:ln w="9525">
                      <a:noFill/>
                      <a:miter lim="800000"/>
                      <a:headEnd/>
                      <a:tailEnd/>
                    </a:ln>
                  </pic:spPr>
                </pic:pic>
              </a:graphicData>
            </a:graphic>
          </wp:inline>
        </w:drawing>
      </w:r>
    </w:p>
    <w:p w:rsidR="008A6488" w:rsidRDefault="00797D36">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rsidR="008A6488" w:rsidRDefault="00797D36">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rsidR="008A6488" w:rsidRDefault="008A6488">
      <w:pPr>
        <w:spacing w:line="360" w:lineRule="auto"/>
        <w:ind w:firstLine="420"/>
        <w:rPr>
          <w:rFonts w:ascii="Times New Roman" w:eastAsia="宋体" w:hAnsi="Times New Roman" w:cs="Times New Roman"/>
          <w:sz w:val="24"/>
          <w:szCs w:val="24"/>
        </w:rPr>
      </w:pPr>
    </w:p>
    <w:p w:rsidR="008A6488" w:rsidRDefault="00797D36">
      <w:pPr>
        <w:pStyle w:val="a3"/>
        <w:keepNext/>
        <w:jc w:val="center"/>
      </w:pPr>
      <w:r>
        <w:t>表</w:t>
      </w:r>
      <w:r>
        <w:t xml:space="preserve"> </w:t>
      </w:r>
      <w:r w:rsidR="00BF7838">
        <w:fldChar w:fldCharType="begin"/>
      </w:r>
      <w:r>
        <w:instrText xml:space="preserve"> SEQ </w:instrText>
      </w:r>
      <w:r>
        <w:instrText>表格</w:instrText>
      </w:r>
      <w:r>
        <w:instrText xml:space="preserve"> \* ARABIC </w:instrText>
      </w:r>
      <w:r w:rsidR="00BF7838">
        <w:fldChar w:fldCharType="separate"/>
      </w:r>
      <w:r>
        <w:t>1</w:t>
      </w:r>
      <w:r w:rsidR="00BF7838">
        <w:fldChar w:fldCharType="end"/>
      </w:r>
      <w:r>
        <w:t xml:space="preserve"> </w:t>
      </w:r>
      <w:r>
        <w:rPr>
          <w:rFonts w:hint="eastAsia"/>
        </w:rPr>
        <w:t>分行业基于增加值人民币有效汇率环比变动（</w:t>
      </w:r>
      <w:r>
        <w:rPr>
          <w:rFonts w:hint="eastAsia"/>
        </w:rPr>
        <w:t>2019</w:t>
      </w:r>
      <w:r>
        <w:rPr>
          <w:rFonts w:hint="eastAsia"/>
        </w:rPr>
        <w:t>年</w:t>
      </w:r>
      <w:r w:rsidR="00723D55">
        <w:rPr>
          <w:rFonts w:hint="eastAsia"/>
        </w:rPr>
        <w:t>9</w:t>
      </w:r>
      <w:r>
        <w:rPr>
          <w:rFonts w:hint="eastAsia"/>
        </w:rPr>
        <w:t>月）</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6"/>
        <w:gridCol w:w="1338"/>
      </w:tblGrid>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Times New Roman"/>
                <w:b/>
                <w:bCs/>
                <w:color w:val="000000"/>
                <w:kern w:val="0"/>
                <w:szCs w:val="21"/>
              </w:rPr>
            </w:pPr>
            <w:r w:rsidRPr="00723D55">
              <w:rPr>
                <w:rFonts w:ascii="宋体" w:eastAsia="宋体" w:hAnsi="宋体" w:cs="Times New Roman"/>
                <w:b/>
                <w:bCs/>
                <w:color w:val="000000"/>
                <w:kern w:val="0"/>
                <w:szCs w:val="21"/>
              </w:rPr>
              <w:t>行业</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Times New Roman"/>
                <w:b/>
                <w:bCs/>
                <w:color w:val="000000"/>
                <w:kern w:val="0"/>
                <w:szCs w:val="21"/>
              </w:rPr>
            </w:pPr>
            <w:r w:rsidRPr="00723D55">
              <w:rPr>
                <w:rFonts w:ascii="宋体" w:eastAsia="宋体" w:hAnsi="宋体" w:cs="Times New Roman"/>
                <w:b/>
                <w:bCs/>
                <w:color w:val="000000"/>
                <w:kern w:val="0"/>
                <w:szCs w:val="21"/>
              </w:rPr>
              <w:t>上月环比</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采矿和采石业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-0.97%</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公共管理和国防业；强制性社会保障</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-0.68%</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零售贸易（除了汽车和摩托车）,家用商品修理</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-0.64%</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航空运输业</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-0.60%</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酒店和餐饮业</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-0.55%</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石油加工、炼焦及核燃料加工业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-0.54%</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卫生和社会工作</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-0.50%</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金融业</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-0.50%</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其他制造业（含回收利用）</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-0.46%</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邮政通讯业</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-0.43%</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电气和光学设备制造业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-0.43%</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教育</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-0.43%</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内陆运输业</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-0.43%</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房地产业</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-0.43%</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食品、饮料和烟草业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-0.42%</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化学品和化工产品制造业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-0.41%</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纸浆、纸、纸张、印刷和出版业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-0.39%</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批发贸易和经纪贸易(除了汽车和摩托车)</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-0.38%</w:t>
            </w:r>
          </w:p>
        </w:tc>
      </w:tr>
      <w:tr w:rsidR="00723D55" w:rsidRPr="00723D55" w:rsidTr="00723D55">
        <w:trPr>
          <w:trHeight w:val="270"/>
          <w:jc w:val="center"/>
        </w:trPr>
        <w:tc>
          <w:tcPr>
            <w:tcW w:w="4492" w:type="dxa"/>
            <w:shd w:val="clear" w:color="000000" w:fill="00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农林牧渔业</w:t>
            </w:r>
          </w:p>
        </w:tc>
        <w:tc>
          <w:tcPr>
            <w:tcW w:w="1100" w:type="dxa"/>
            <w:shd w:val="clear" w:color="000000" w:fill="00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-0.37%</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木材、木材制品业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-0.37%</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租赁和商务服务业</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-0.37%</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电力、燃气、水的供应业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-0.36%</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其他社区、社会和个人服务</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-0.35%</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橡胶和塑料制品业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-0.32%</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其他非金属矿物制品业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-0.31%</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金属和金属制品业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-0.30%</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其他支持和辅助运输业；旅行社活动</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-0.29%</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运输设备业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-0.25%</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纺织材料和纺织制品业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-0.24%</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设备制造业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-0.20%</w:t>
            </w:r>
          </w:p>
        </w:tc>
      </w:tr>
      <w:tr w:rsidR="00723D55" w:rsidRPr="00723D55" w:rsidTr="00723D55">
        <w:trPr>
          <w:trHeight w:val="270"/>
          <w:jc w:val="center"/>
        </w:trPr>
        <w:tc>
          <w:tcPr>
            <w:tcW w:w="4492"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水路运输业</w:t>
            </w:r>
          </w:p>
        </w:tc>
        <w:tc>
          <w:tcPr>
            <w:tcW w:w="1100" w:type="dxa"/>
            <w:shd w:val="clear" w:color="auto" w:fill="auto"/>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-0.20%</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建筑业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-0.11%</w:t>
            </w:r>
          </w:p>
        </w:tc>
      </w:tr>
      <w:tr w:rsidR="00723D55" w:rsidRPr="00723D55" w:rsidTr="00723D55">
        <w:trPr>
          <w:trHeight w:val="270"/>
          <w:jc w:val="center"/>
        </w:trPr>
        <w:tc>
          <w:tcPr>
            <w:tcW w:w="4492"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皮革,皮革制品和鞋业</w:t>
            </w:r>
          </w:p>
        </w:tc>
        <w:tc>
          <w:tcPr>
            <w:tcW w:w="1100" w:type="dxa"/>
            <w:shd w:val="clear" w:color="000000" w:fill="FFFF00"/>
            <w:noWrap/>
            <w:vAlign w:val="center"/>
            <w:hideMark/>
          </w:tcPr>
          <w:p w:rsidR="00723D55" w:rsidRPr="00723D55" w:rsidRDefault="00723D55" w:rsidP="00723D55">
            <w:pPr>
              <w:widowControl/>
              <w:jc w:val="center"/>
              <w:rPr>
                <w:rFonts w:ascii="宋体" w:eastAsia="宋体" w:hAnsi="宋体" w:cs="宋体"/>
                <w:color w:val="000000"/>
                <w:kern w:val="0"/>
                <w:szCs w:val="21"/>
              </w:rPr>
            </w:pPr>
            <w:r w:rsidRPr="00723D55">
              <w:rPr>
                <w:rFonts w:ascii="宋体" w:eastAsia="宋体" w:hAnsi="宋体" w:cs="宋体" w:hint="eastAsia"/>
                <w:color w:val="000000"/>
                <w:kern w:val="0"/>
                <w:szCs w:val="21"/>
              </w:rPr>
              <w:t>-0.07%</w:t>
            </w:r>
          </w:p>
        </w:tc>
      </w:tr>
    </w:tbl>
    <w:p w:rsidR="008A6488" w:rsidRDefault="00797D36">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rsidR="008A6488" w:rsidRDefault="00797D36">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rsidR="008A6488" w:rsidRDefault="008A6488">
      <w:pPr>
        <w:spacing w:line="360" w:lineRule="auto"/>
        <w:ind w:firstLine="420"/>
        <w:rPr>
          <w:rFonts w:ascii="Times New Roman" w:eastAsia="宋体" w:hAnsi="Times New Roman" w:cs="Times New Roman"/>
          <w:sz w:val="18"/>
          <w:szCs w:val="18"/>
        </w:rPr>
      </w:pPr>
    </w:p>
    <w:p w:rsidR="0016705E" w:rsidRDefault="0016705E">
      <w:pPr>
        <w:spacing w:line="360" w:lineRule="auto"/>
        <w:ind w:firstLine="420"/>
        <w:rPr>
          <w:rFonts w:ascii="Times New Roman" w:eastAsia="宋体" w:hAnsi="Times New Roman" w:cs="Times New Roman"/>
          <w:sz w:val="18"/>
          <w:szCs w:val="18"/>
        </w:rPr>
      </w:pPr>
    </w:p>
    <w:p w:rsidR="008A6488" w:rsidRDefault="00797D36">
      <w:pPr>
        <w:pStyle w:val="a3"/>
        <w:keepNext/>
        <w:jc w:val="center"/>
      </w:pPr>
      <w:r>
        <w:lastRenderedPageBreak/>
        <w:t>表格</w:t>
      </w:r>
      <w:r>
        <w:t xml:space="preserve"> </w:t>
      </w:r>
      <w:r w:rsidR="00BF7838">
        <w:fldChar w:fldCharType="begin"/>
      </w:r>
      <w:r>
        <w:instrText xml:space="preserve"> SEQ </w:instrText>
      </w:r>
      <w:r>
        <w:instrText>表格</w:instrText>
      </w:r>
      <w:r>
        <w:instrText xml:space="preserve"> \* ARABIC </w:instrText>
      </w:r>
      <w:r w:rsidR="00BF7838">
        <w:fldChar w:fldCharType="separate"/>
      </w:r>
      <w:r>
        <w:t>2</w:t>
      </w:r>
      <w:r w:rsidR="00BF7838">
        <w:fldChar w:fldCharType="end"/>
      </w:r>
      <w:r>
        <w:t xml:space="preserve"> </w:t>
      </w:r>
      <w:r>
        <w:rPr>
          <w:rFonts w:hint="eastAsia"/>
        </w:rPr>
        <w:t>分行业基于增加值人民币有效汇率同比变动（</w:t>
      </w:r>
      <w:r>
        <w:rPr>
          <w:rFonts w:hint="eastAsia"/>
        </w:rPr>
        <w:t>2019</w:t>
      </w:r>
      <w:r>
        <w:rPr>
          <w:rFonts w:hint="eastAsia"/>
        </w:rPr>
        <w:t>年</w:t>
      </w:r>
      <w:r w:rsidR="0016705E">
        <w:rPr>
          <w:rFonts w:hint="eastAsia"/>
        </w:rPr>
        <w:t>9</w:t>
      </w:r>
      <w:r>
        <w:rPr>
          <w:rFonts w:hint="eastAsia"/>
        </w:rPr>
        <w:t>月）</w:t>
      </w:r>
    </w:p>
    <w:tbl>
      <w:tblPr>
        <w:tblW w:w="6804"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5"/>
        <w:gridCol w:w="1319"/>
      </w:tblGrid>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Times New Roman"/>
                <w:color w:val="000000"/>
                <w:kern w:val="0"/>
                <w:szCs w:val="21"/>
              </w:rPr>
            </w:pPr>
            <w:r w:rsidRPr="0016705E">
              <w:rPr>
                <w:rFonts w:ascii="宋体" w:eastAsia="宋体" w:hAnsi="宋体" w:cs="Times New Roman"/>
                <w:color w:val="000000"/>
                <w:kern w:val="0"/>
                <w:szCs w:val="21"/>
              </w:rPr>
              <w:t>行业</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Times New Roman"/>
                <w:color w:val="000000"/>
                <w:kern w:val="0"/>
                <w:szCs w:val="21"/>
              </w:rPr>
            </w:pPr>
            <w:r w:rsidRPr="0016705E">
              <w:rPr>
                <w:rFonts w:ascii="宋体" w:eastAsia="宋体" w:hAnsi="宋体" w:cs="Times New Roman"/>
                <w:color w:val="000000"/>
                <w:kern w:val="0"/>
                <w:szCs w:val="21"/>
              </w:rPr>
              <w:t>上年同比</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石油加工、炼焦及核燃料加工业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-4.09%</w:t>
            </w:r>
          </w:p>
        </w:tc>
      </w:tr>
      <w:tr w:rsidR="0016705E" w:rsidRPr="0016705E" w:rsidTr="0016705E">
        <w:trPr>
          <w:trHeight w:val="270"/>
          <w:jc w:val="center"/>
        </w:trPr>
        <w:tc>
          <w:tcPr>
            <w:tcW w:w="4490" w:type="dxa"/>
            <w:shd w:val="clear" w:color="000000" w:fill="00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农林牧渔业</w:t>
            </w:r>
          </w:p>
        </w:tc>
        <w:tc>
          <w:tcPr>
            <w:tcW w:w="1080" w:type="dxa"/>
            <w:shd w:val="clear" w:color="000000" w:fill="00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-2.92%</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纺织材料和纺织制品业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-2.91%</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食品、饮料和烟草业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-2.60%</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采矿和采石业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-2.55%</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批发贸易和经纪贸易(除了汽车和摩托车)</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-2.55%</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内陆运输业</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-2.53%</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公共管理和国防业；强制性社会保障</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-2.21%</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电力、燃气、水的供应业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-2.16%</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纸浆、纸、纸张、印刷和出版业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-2.16%</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木材、木材制品业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-2.14%</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电气和光学设备制造业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-2.14%</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水路运输业</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-2.12%</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橡胶和塑料制品业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-2.08%</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其他非金属矿物制品业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-2.08%</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金属和金属制品业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-2.06%</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金融业</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-2.06%</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酒店和餐饮业</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-2.04%</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化学品和化工产品制造业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-2.02%</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航空运输业</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-1.88%</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其他制造业（含回收利用）</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-1.86%</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运输设备业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-1.86%</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卫生和社会工作</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-1.71%</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其他社区、社会和个人服务</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-1.62%</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房地产业</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-1.51%</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邮政通讯业</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-1.51%</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设备制造业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-1.42%</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租赁和商务服务业</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-1.38%</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零售贸易（除了汽车和摩托车）,家用商品修理</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-1.35%</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其他支持和辅助运输业；旅行社活动</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-1.32%</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皮革,皮革制品和鞋业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-1.16%</w:t>
            </w:r>
          </w:p>
        </w:tc>
      </w:tr>
      <w:tr w:rsidR="0016705E" w:rsidRPr="0016705E" w:rsidTr="0016705E">
        <w:trPr>
          <w:trHeight w:val="270"/>
          <w:jc w:val="center"/>
        </w:trPr>
        <w:tc>
          <w:tcPr>
            <w:tcW w:w="449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建筑业</w:t>
            </w:r>
          </w:p>
        </w:tc>
        <w:tc>
          <w:tcPr>
            <w:tcW w:w="1080" w:type="dxa"/>
            <w:shd w:val="clear" w:color="000000" w:fill="FFFF00"/>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-0.39%</w:t>
            </w:r>
          </w:p>
        </w:tc>
      </w:tr>
      <w:tr w:rsidR="0016705E" w:rsidRPr="0016705E" w:rsidTr="0016705E">
        <w:trPr>
          <w:trHeight w:val="270"/>
          <w:jc w:val="center"/>
        </w:trPr>
        <w:tc>
          <w:tcPr>
            <w:tcW w:w="449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教育</w:t>
            </w:r>
          </w:p>
        </w:tc>
        <w:tc>
          <w:tcPr>
            <w:tcW w:w="1080" w:type="dxa"/>
            <w:shd w:val="clear" w:color="auto" w:fill="auto"/>
            <w:noWrap/>
            <w:vAlign w:val="center"/>
            <w:hideMark/>
          </w:tcPr>
          <w:p w:rsidR="0016705E" w:rsidRPr="0016705E" w:rsidRDefault="0016705E" w:rsidP="0016705E">
            <w:pPr>
              <w:widowControl/>
              <w:jc w:val="center"/>
              <w:rPr>
                <w:rFonts w:ascii="宋体" w:eastAsia="宋体" w:hAnsi="宋体" w:cs="宋体"/>
                <w:color w:val="000000"/>
                <w:kern w:val="0"/>
                <w:szCs w:val="21"/>
              </w:rPr>
            </w:pPr>
            <w:r w:rsidRPr="0016705E">
              <w:rPr>
                <w:rFonts w:ascii="宋体" w:eastAsia="宋体" w:hAnsi="宋体" w:cs="宋体" w:hint="eastAsia"/>
                <w:color w:val="000000"/>
                <w:kern w:val="0"/>
                <w:szCs w:val="21"/>
              </w:rPr>
              <w:t>-0.32%</w:t>
            </w:r>
          </w:p>
        </w:tc>
      </w:tr>
    </w:tbl>
    <w:p w:rsidR="008A6488" w:rsidRDefault="008A6488">
      <w:pPr>
        <w:spacing w:line="360" w:lineRule="auto"/>
        <w:jc w:val="center"/>
        <w:rPr>
          <w:rFonts w:ascii="Times New Roman" w:eastAsia="宋体" w:hAnsi="Times New Roman" w:cs="Times New Roman"/>
          <w:sz w:val="24"/>
          <w:szCs w:val="24"/>
        </w:rPr>
      </w:pPr>
    </w:p>
    <w:sectPr w:rsidR="008A6488" w:rsidSect="008A648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3D7" w:rsidRDefault="003963D7" w:rsidP="008A6488">
      <w:r>
        <w:separator/>
      </w:r>
    </w:p>
  </w:endnote>
  <w:endnote w:type="continuationSeparator" w:id="0">
    <w:p w:rsidR="003963D7" w:rsidRDefault="003963D7" w:rsidP="008A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3D7" w:rsidRDefault="003963D7" w:rsidP="008A6488">
      <w:r>
        <w:separator/>
      </w:r>
    </w:p>
  </w:footnote>
  <w:footnote w:type="continuationSeparator" w:id="0">
    <w:p w:rsidR="003963D7" w:rsidRDefault="003963D7" w:rsidP="008A6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88" w:rsidRDefault="00BF7838">
    <w:pPr>
      <w:pStyle w:val="a6"/>
    </w:pPr>
    <w:r>
      <w:pict>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rsidR="008A6488" w:rsidRDefault="00797D36">
                    <w:pPr>
                      <w:pStyle w:val="a6"/>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20555"/>
    <w:rsid w:val="00030BDE"/>
    <w:rsid w:val="0007302D"/>
    <w:rsid w:val="000E6CCC"/>
    <w:rsid w:val="000F7043"/>
    <w:rsid w:val="001657EF"/>
    <w:rsid w:val="0016705E"/>
    <w:rsid w:val="001A5BBB"/>
    <w:rsid w:val="00200E0E"/>
    <w:rsid w:val="002034D7"/>
    <w:rsid w:val="002041B5"/>
    <w:rsid w:val="00210905"/>
    <w:rsid w:val="002E1669"/>
    <w:rsid w:val="0030403D"/>
    <w:rsid w:val="0033361A"/>
    <w:rsid w:val="0033543A"/>
    <w:rsid w:val="00364641"/>
    <w:rsid w:val="003963D7"/>
    <w:rsid w:val="003B0439"/>
    <w:rsid w:val="003E40C8"/>
    <w:rsid w:val="00420555"/>
    <w:rsid w:val="00484922"/>
    <w:rsid w:val="004F5D81"/>
    <w:rsid w:val="00506398"/>
    <w:rsid w:val="00510CF4"/>
    <w:rsid w:val="00581E14"/>
    <w:rsid w:val="00590700"/>
    <w:rsid w:val="005B7DA5"/>
    <w:rsid w:val="005F1EFD"/>
    <w:rsid w:val="00626C75"/>
    <w:rsid w:val="0063138E"/>
    <w:rsid w:val="0066223B"/>
    <w:rsid w:val="0066259E"/>
    <w:rsid w:val="00673ABE"/>
    <w:rsid w:val="00696DBB"/>
    <w:rsid w:val="006B6952"/>
    <w:rsid w:val="006C3305"/>
    <w:rsid w:val="006C3B74"/>
    <w:rsid w:val="0070118B"/>
    <w:rsid w:val="0072145D"/>
    <w:rsid w:val="00723D55"/>
    <w:rsid w:val="00735A5F"/>
    <w:rsid w:val="00757DFA"/>
    <w:rsid w:val="0077323E"/>
    <w:rsid w:val="00797D36"/>
    <w:rsid w:val="007B529B"/>
    <w:rsid w:val="007C10A0"/>
    <w:rsid w:val="007C1E64"/>
    <w:rsid w:val="00842C75"/>
    <w:rsid w:val="00884DA6"/>
    <w:rsid w:val="008A6488"/>
    <w:rsid w:val="008B2ABC"/>
    <w:rsid w:val="00930401"/>
    <w:rsid w:val="00934FD1"/>
    <w:rsid w:val="00971781"/>
    <w:rsid w:val="00973962"/>
    <w:rsid w:val="009A228C"/>
    <w:rsid w:val="009F1DB0"/>
    <w:rsid w:val="00A522C7"/>
    <w:rsid w:val="00A62132"/>
    <w:rsid w:val="00A62A9C"/>
    <w:rsid w:val="00A76629"/>
    <w:rsid w:val="00A768B8"/>
    <w:rsid w:val="00A952E7"/>
    <w:rsid w:val="00AB160F"/>
    <w:rsid w:val="00B35328"/>
    <w:rsid w:val="00BE7988"/>
    <w:rsid w:val="00BF7838"/>
    <w:rsid w:val="00C57878"/>
    <w:rsid w:val="00C968D0"/>
    <w:rsid w:val="00CB292B"/>
    <w:rsid w:val="00CC1B60"/>
    <w:rsid w:val="00CC52EF"/>
    <w:rsid w:val="00CD328F"/>
    <w:rsid w:val="00CE77E0"/>
    <w:rsid w:val="00D44972"/>
    <w:rsid w:val="00DB1B58"/>
    <w:rsid w:val="00E25128"/>
    <w:rsid w:val="00E5333D"/>
    <w:rsid w:val="00E64D05"/>
    <w:rsid w:val="00E8756C"/>
    <w:rsid w:val="00EC5B11"/>
    <w:rsid w:val="00F02E39"/>
    <w:rsid w:val="00F16000"/>
    <w:rsid w:val="00F30C3C"/>
    <w:rsid w:val="00FB13AE"/>
    <w:rsid w:val="00FB312C"/>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8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A6488"/>
    <w:rPr>
      <w:rFonts w:asciiTheme="majorHAnsi" w:eastAsia="黑体" w:hAnsiTheme="majorHAnsi" w:cstheme="majorBidi"/>
      <w:sz w:val="20"/>
      <w:szCs w:val="20"/>
    </w:rPr>
  </w:style>
  <w:style w:type="paragraph" w:styleId="a4">
    <w:name w:val="Balloon Text"/>
    <w:basedOn w:val="a"/>
    <w:link w:val="Char"/>
    <w:uiPriority w:val="99"/>
    <w:semiHidden/>
    <w:unhideWhenUsed/>
    <w:qFormat/>
    <w:rsid w:val="008A6488"/>
    <w:rPr>
      <w:sz w:val="18"/>
      <w:szCs w:val="18"/>
    </w:rPr>
  </w:style>
  <w:style w:type="paragraph" w:styleId="a5">
    <w:name w:val="footer"/>
    <w:basedOn w:val="a"/>
    <w:link w:val="Char0"/>
    <w:uiPriority w:val="99"/>
    <w:unhideWhenUsed/>
    <w:qFormat/>
    <w:rsid w:val="008A648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A648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8A6488"/>
    <w:rPr>
      <w:color w:val="0563C1" w:themeColor="hyperlink"/>
      <w:u w:val="single"/>
    </w:rPr>
  </w:style>
  <w:style w:type="character" w:customStyle="1" w:styleId="Char1">
    <w:name w:val="页眉 Char"/>
    <w:basedOn w:val="a0"/>
    <w:link w:val="a6"/>
    <w:uiPriority w:val="99"/>
    <w:qFormat/>
    <w:rsid w:val="008A6488"/>
    <w:rPr>
      <w:sz w:val="18"/>
      <w:szCs w:val="18"/>
    </w:rPr>
  </w:style>
  <w:style w:type="character" w:customStyle="1" w:styleId="Char0">
    <w:name w:val="页脚 Char"/>
    <w:basedOn w:val="a0"/>
    <w:link w:val="a5"/>
    <w:uiPriority w:val="99"/>
    <w:qFormat/>
    <w:rsid w:val="008A6488"/>
    <w:rPr>
      <w:sz w:val="18"/>
      <w:szCs w:val="18"/>
    </w:rPr>
  </w:style>
  <w:style w:type="paragraph" w:styleId="a8">
    <w:name w:val="List Paragraph"/>
    <w:basedOn w:val="a"/>
    <w:uiPriority w:val="34"/>
    <w:qFormat/>
    <w:rsid w:val="008A6488"/>
    <w:pPr>
      <w:ind w:firstLineChars="200" w:firstLine="420"/>
    </w:pPr>
  </w:style>
  <w:style w:type="character" w:customStyle="1" w:styleId="Char">
    <w:name w:val="批注框文本 Char"/>
    <w:basedOn w:val="a0"/>
    <w:link w:val="a4"/>
    <w:uiPriority w:val="99"/>
    <w:semiHidden/>
    <w:qFormat/>
    <w:rsid w:val="008A6488"/>
    <w:rPr>
      <w:sz w:val="18"/>
      <w:szCs w:val="18"/>
    </w:rPr>
  </w:style>
  <w:style w:type="character" w:customStyle="1" w:styleId="Mention">
    <w:name w:val="Mention"/>
    <w:basedOn w:val="a0"/>
    <w:uiPriority w:val="99"/>
    <w:semiHidden/>
    <w:unhideWhenUsed/>
    <w:qFormat/>
    <w:rsid w:val="008A6488"/>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656767527">
      <w:bodyDiv w:val="1"/>
      <w:marLeft w:val="0"/>
      <w:marRight w:val="0"/>
      <w:marTop w:val="0"/>
      <w:marBottom w:val="0"/>
      <w:divBdr>
        <w:top w:val="none" w:sz="0" w:space="0" w:color="auto"/>
        <w:left w:val="none" w:sz="0" w:space="0" w:color="auto"/>
        <w:bottom w:val="none" w:sz="0" w:space="0" w:color="auto"/>
        <w:right w:val="none" w:sz="0" w:space="0" w:color="auto"/>
      </w:divBdr>
    </w:div>
    <w:div w:id="70729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D6FAFE-4A84-4521-BC4E-31D42F30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369</Words>
  <Characters>2104</Characters>
  <Application>Microsoft Office Word</Application>
  <DocSecurity>0</DocSecurity>
  <Lines>17</Lines>
  <Paragraphs>4</Paragraphs>
  <ScaleCrop>false</ScaleCrop>
  <Company>微软中国</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微软用户</cp:lastModifiedBy>
  <cp:revision>7</cp:revision>
  <dcterms:created xsi:type="dcterms:W3CDTF">2020-03-29T04:35:00Z</dcterms:created>
  <dcterms:modified xsi:type="dcterms:W3CDTF">2020-03-29T05:27:00Z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