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A9" w:rsidRDefault="004517A9">
      <w:pPr>
        <w:spacing w:line="360" w:lineRule="auto"/>
        <w:jc w:val="center"/>
        <w:rPr>
          <w:rFonts w:ascii="Times New Roman" w:eastAsia="宋体" w:hAnsi="Times New Roman" w:cs="Times New Roman"/>
          <w:sz w:val="24"/>
          <w:szCs w:val="24"/>
        </w:rPr>
      </w:pPr>
    </w:p>
    <w:p w:rsidR="004517A9" w:rsidRDefault="00173D2C">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B4321C">
        <w:rPr>
          <w:rFonts w:ascii="Times New Roman" w:eastAsia="宋体" w:hAnsi="Times New Roman" w:cs="Times New Roman" w:hint="eastAsia"/>
          <w:b/>
          <w:sz w:val="30"/>
          <w:szCs w:val="30"/>
        </w:rPr>
        <w:t>7</w:t>
      </w:r>
      <w:r>
        <w:rPr>
          <w:rFonts w:ascii="Times New Roman" w:eastAsia="宋体" w:hAnsi="Times New Roman" w:cs="Times New Roman"/>
          <w:b/>
          <w:sz w:val="30"/>
          <w:szCs w:val="30"/>
        </w:rPr>
        <w:t>月）</w:t>
      </w:r>
    </w:p>
    <w:p w:rsidR="004517A9" w:rsidRDefault="004517A9">
      <w:pPr>
        <w:spacing w:line="360" w:lineRule="auto"/>
        <w:jc w:val="center"/>
        <w:rPr>
          <w:rFonts w:ascii="Times New Roman" w:eastAsia="宋体" w:hAnsi="Times New Roman" w:cs="Times New Roman"/>
          <w:b/>
          <w:sz w:val="30"/>
          <w:szCs w:val="30"/>
        </w:rPr>
      </w:pPr>
    </w:p>
    <w:p w:rsidR="004517A9" w:rsidRDefault="00173D2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DF459B">
        <w:rPr>
          <w:rFonts w:ascii="Times New Roman" w:eastAsia="宋体" w:hAnsi="Times New Roman" w:cs="Times New Roman" w:hint="eastAsia"/>
          <w:b/>
          <w:sz w:val="24"/>
          <w:szCs w:val="24"/>
        </w:rPr>
        <w:t>7</w:t>
      </w:r>
      <w:r>
        <w:rPr>
          <w:rFonts w:ascii="Times New Roman" w:eastAsia="宋体" w:hAnsi="Times New Roman" w:cs="Times New Roman" w:hint="eastAsia"/>
          <w:b/>
          <w:sz w:val="24"/>
          <w:szCs w:val="24"/>
        </w:rPr>
        <w:t>月，加总的基于增加值人民币有效汇率上月环比</w:t>
      </w:r>
      <w:r w:rsidR="00DF459B">
        <w:rPr>
          <w:rFonts w:ascii="Times New Roman" w:eastAsia="宋体" w:hAnsi="Times New Roman" w:cs="Times New Roman" w:hint="eastAsia"/>
          <w:b/>
          <w:sz w:val="24"/>
          <w:szCs w:val="24"/>
        </w:rPr>
        <w:t>升值</w:t>
      </w:r>
      <w:r w:rsidR="00DF459B">
        <w:rPr>
          <w:rFonts w:ascii="Times New Roman" w:eastAsia="宋体" w:hAnsi="Times New Roman" w:cs="Times New Roman" w:hint="eastAsia"/>
          <w:b/>
          <w:sz w:val="24"/>
          <w:szCs w:val="24"/>
        </w:rPr>
        <w:t>0.29</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DF459B">
        <w:rPr>
          <w:rFonts w:ascii="Times New Roman" w:eastAsia="宋体" w:hAnsi="Times New Roman" w:cs="Times New Roman" w:hint="eastAsia"/>
          <w:b/>
          <w:sz w:val="24"/>
          <w:szCs w:val="24"/>
        </w:rPr>
        <w:t>0.69</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0.24</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F459B">
        <w:rPr>
          <w:rFonts w:ascii="Times New Roman" w:eastAsia="宋体" w:hAnsi="Times New Roman" w:cs="Times New Roman" w:hint="eastAsia"/>
          <w:sz w:val="24"/>
          <w:szCs w:val="24"/>
        </w:rPr>
        <w:t>0.85</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0.64</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0.2</w:t>
      </w:r>
      <w:r w:rsidR="00DF459B">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0.81</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1.09</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0.97</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1.19</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w:t>
      </w:r>
      <w:r w:rsidR="00DF459B">
        <w:rPr>
          <w:rFonts w:ascii="Times New Roman" w:eastAsia="宋体" w:hAnsi="Times New Roman" w:cs="Times New Roman" w:hint="eastAsia"/>
          <w:sz w:val="24"/>
          <w:szCs w:val="24"/>
        </w:rPr>
        <w:t>环比升值</w:t>
      </w:r>
      <w:r>
        <w:rPr>
          <w:rFonts w:ascii="Times New Roman" w:eastAsia="宋体" w:hAnsi="Times New Roman" w:cs="Times New Roman" w:hint="eastAsia"/>
          <w:sz w:val="24"/>
          <w:szCs w:val="24"/>
        </w:rPr>
        <w:t>幅度略</w:t>
      </w:r>
      <w:r w:rsidR="00DF459B">
        <w:rPr>
          <w:rFonts w:ascii="Times New Roman" w:eastAsia="宋体" w:hAnsi="Times New Roman" w:cs="Times New Roman" w:hint="eastAsia"/>
          <w:sz w:val="24"/>
          <w:szCs w:val="24"/>
        </w:rPr>
        <w:t>低</w:t>
      </w:r>
      <w:r>
        <w:rPr>
          <w:rFonts w:ascii="Times New Roman" w:eastAsia="宋体" w:hAnsi="Times New Roman" w:cs="Times New Roman" w:hint="eastAsia"/>
          <w:sz w:val="24"/>
          <w:szCs w:val="24"/>
        </w:rPr>
        <w:t>于主要篮子货币</w:t>
      </w:r>
      <w:r w:rsidR="00DF459B">
        <w:rPr>
          <w:rFonts w:ascii="Times New Roman" w:eastAsia="宋体" w:hAnsi="Times New Roman" w:cs="Times New Roman" w:hint="eastAsia"/>
          <w:sz w:val="24"/>
          <w:szCs w:val="24"/>
        </w:rPr>
        <w:t>，同比升贬值态势与主要篮子货币相反。</w:t>
      </w:r>
    </w:p>
    <w:p w:rsidR="004517A9" w:rsidRDefault="00173D2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0.37</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F459B">
        <w:rPr>
          <w:rFonts w:ascii="Times New Roman" w:eastAsia="宋体" w:hAnsi="Times New Roman" w:cs="Times New Roman" w:hint="eastAsia"/>
          <w:sz w:val="24"/>
          <w:szCs w:val="24"/>
        </w:rPr>
        <w:t>0.71</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w:t>
      </w:r>
      <w:r w:rsidR="00DF459B">
        <w:rPr>
          <w:rFonts w:ascii="Times New Roman" w:eastAsia="宋体" w:hAnsi="Times New Roman" w:cs="Times New Roman" w:hint="eastAsia"/>
          <w:sz w:val="24"/>
          <w:szCs w:val="24"/>
        </w:rPr>
        <w:t>升值</w:t>
      </w:r>
      <w:r w:rsidR="00DF459B">
        <w:rPr>
          <w:rFonts w:ascii="Times New Roman" w:eastAsia="宋体" w:hAnsi="Times New Roman" w:cs="Times New Roman" w:hint="eastAsia"/>
          <w:sz w:val="24"/>
          <w:szCs w:val="24"/>
        </w:rPr>
        <w:t>0.37</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F459B">
        <w:rPr>
          <w:rFonts w:ascii="Times New Roman" w:eastAsia="宋体" w:hAnsi="Times New Roman" w:cs="Times New Roman" w:hint="eastAsia"/>
          <w:sz w:val="24"/>
          <w:szCs w:val="24"/>
        </w:rPr>
        <w:t>0.53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4517A9" w:rsidRDefault="00173D2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13466D" w:rsidRPr="0013466D">
        <w:rPr>
          <w:rFonts w:ascii="Times New Roman" w:eastAsia="宋体" w:hAnsi="Times New Roman" w:cs="Times New Roman" w:hint="eastAsia"/>
          <w:sz w:val="24"/>
          <w:szCs w:val="24"/>
        </w:rPr>
        <w:t>7</w:t>
      </w:r>
      <w:r w:rsidR="0013466D" w:rsidRPr="0013466D">
        <w:rPr>
          <w:rFonts w:ascii="Times New Roman" w:eastAsia="宋体" w:hAnsi="Times New Roman" w:cs="Times New Roman" w:hint="eastAsia"/>
          <w:sz w:val="24"/>
          <w:szCs w:val="24"/>
        </w:rPr>
        <w:t>月</w:t>
      </w:r>
      <w:r w:rsidR="00DF459B">
        <w:rPr>
          <w:rFonts w:ascii="Times New Roman" w:eastAsia="宋体" w:hAnsi="Times New Roman" w:cs="Times New Roman" w:hint="eastAsia"/>
          <w:sz w:val="24"/>
          <w:szCs w:val="24"/>
        </w:rPr>
        <w:t>多数</w:t>
      </w:r>
      <w:r w:rsidR="00DF459B">
        <w:rPr>
          <w:rFonts w:ascii="Times New Roman" w:eastAsia="宋体" w:hAnsi="Times New Roman" w:cs="Times New Roman"/>
          <w:sz w:val="24"/>
          <w:szCs w:val="24"/>
        </w:rPr>
        <w:t>行业</w:t>
      </w:r>
      <w:r>
        <w:rPr>
          <w:rFonts w:ascii="Times New Roman" w:eastAsia="宋体" w:hAnsi="Times New Roman" w:cs="Times New Roman"/>
          <w:sz w:val="24"/>
          <w:szCs w:val="24"/>
        </w:rPr>
        <w:t>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w:t>
      </w:r>
      <w:r w:rsidR="00DF459B">
        <w:rPr>
          <w:rFonts w:ascii="Times New Roman" w:eastAsia="宋体" w:hAnsi="Times New Roman" w:cs="Times New Roman" w:hint="eastAsia"/>
          <w:sz w:val="24"/>
          <w:szCs w:val="24"/>
        </w:rPr>
        <w:t>升值</w:t>
      </w:r>
      <w:r>
        <w:rPr>
          <w:rFonts w:ascii="Times New Roman" w:eastAsia="宋体" w:hAnsi="Times New Roman" w:cs="Times New Roman"/>
          <w:sz w:val="24"/>
          <w:szCs w:val="24"/>
        </w:rPr>
        <w:t>和</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同比贬值态势</w:t>
      </w:r>
      <w:r w:rsidR="00DF459B">
        <w:rPr>
          <w:rFonts w:ascii="Times New Roman" w:eastAsia="宋体" w:hAnsi="Times New Roman" w:cs="Times New Roman" w:hint="eastAsia"/>
          <w:sz w:val="24"/>
          <w:szCs w:val="24"/>
        </w:rPr>
        <w:t>与</w:t>
      </w:r>
      <w:r w:rsidR="00DF459B">
        <w:rPr>
          <w:rFonts w:ascii="Times New Roman" w:eastAsia="宋体" w:hAnsi="Times New Roman" w:cs="Times New Roman" w:hint="eastAsia"/>
          <w:sz w:val="24"/>
          <w:szCs w:val="24"/>
        </w:rPr>
        <w:t>BIS</w:t>
      </w:r>
      <w:r w:rsidR="00DF459B">
        <w:rPr>
          <w:rFonts w:ascii="Times New Roman" w:eastAsia="宋体" w:hAnsi="Times New Roman" w:cs="Times New Roman" w:hint="eastAsia"/>
          <w:sz w:val="24"/>
          <w:szCs w:val="24"/>
        </w:rPr>
        <w:t>有效汇率一致</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，贬值幅度</w:t>
      </w:r>
      <w:r>
        <w:rPr>
          <w:rFonts w:ascii="Times New Roman" w:eastAsia="宋体" w:hAnsi="Times New Roman" w:cs="Times New Roman" w:hint="eastAsia"/>
          <w:sz w:val="24"/>
          <w:szCs w:val="24"/>
        </w:rPr>
        <w:t>差异也不是很大</w:t>
      </w:r>
      <w:r>
        <w:rPr>
          <w:rFonts w:ascii="Times New Roman" w:eastAsia="宋体" w:hAnsi="Times New Roman" w:cs="Times New Roman"/>
          <w:sz w:val="24"/>
          <w:szCs w:val="24"/>
        </w:rPr>
        <w:t>，环比最大差异为</w:t>
      </w:r>
      <w:r>
        <w:rPr>
          <w:rFonts w:ascii="Times New Roman" w:eastAsia="宋体" w:hAnsi="Times New Roman" w:cs="Times New Roman"/>
          <w:sz w:val="24"/>
          <w:szCs w:val="24"/>
        </w:rPr>
        <w:t>0.</w:t>
      </w:r>
      <w:r w:rsidR="00DF459B">
        <w:rPr>
          <w:rFonts w:ascii="Times New Roman" w:eastAsia="宋体" w:hAnsi="Times New Roman" w:cs="Times New Roman" w:hint="eastAsia"/>
          <w:sz w:val="24"/>
          <w:szCs w:val="24"/>
        </w:rPr>
        <w:t>98</w:t>
      </w:r>
      <w:r>
        <w:rPr>
          <w:rFonts w:ascii="Times New Roman" w:eastAsia="宋体" w:hAnsi="Times New Roman" w:cs="Times New Roman"/>
          <w:sz w:val="24"/>
          <w:szCs w:val="24"/>
        </w:rPr>
        <w:t>个百分点，同比最大差异为</w:t>
      </w:r>
      <w:r>
        <w:rPr>
          <w:rFonts w:ascii="Times New Roman" w:eastAsia="宋体" w:hAnsi="Times New Roman" w:cs="Times New Roman" w:hint="eastAsia"/>
          <w:sz w:val="24"/>
          <w:szCs w:val="24"/>
        </w:rPr>
        <w:t>2.</w:t>
      </w:r>
      <w:r w:rsidR="00DF459B">
        <w:rPr>
          <w:rFonts w:ascii="Times New Roman" w:eastAsia="宋体" w:hAnsi="Times New Roman" w:cs="Times New Roman" w:hint="eastAsia"/>
          <w:sz w:val="24"/>
          <w:szCs w:val="24"/>
        </w:rPr>
        <w:t>75</w:t>
      </w:r>
      <w:r>
        <w:rPr>
          <w:rFonts w:ascii="Times New Roman" w:eastAsia="宋体" w:hAnsi="Times New Roman" w:cs="Times New Roman"/>
          <w:sz w:val="24"/>
          <w:szCs w:val="24"/>
        </w:rPr>
        <w:t>个百分点。环比</w:t>
      </w:r>
      <w:r w:rsidR="00DF459B">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幅度最高的三个行业为</w:t>
      </w:r>
      <w:r>
        <w:rPr>
          <w:rFonts w:ascii="Times New Roman" w:eastAsia="宋体" w:hAnsi="Times New Roman" w:cs="Times New Roman"/>
          <w:sz w:val="24"/>
          <w:szCs w:val="24"/>
        </w:rPr>
        <w:t>“</w:t>
      </w:r>
      <w:r w:rsidR="00666767">
        <w:rPr>
          <w:rFonts w:ascii="Times New Roman" w:eastAsia="宋体" w:hAnsi="Times New Roman" w:cs="Times New Roman" w:hint="eastAsia"/>
          <w:sz w:val="24"/>
          <w:szCs w:val="24"/>
        </w:rPr>
        <w:t>建筑业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设备制造业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租赁和商务服务业</w:t>
      </w:r>
      <w:r>
        <w:rPr>
          <w:rFonts w:ascii="Times New Roman" w:eastAsia="宋体" w:hAnsi="Times New Roman" w:cs="Times New Roman"/>
          <w:sz w:val="24"/>
          <w:szCs w:val="24"/>
        </w:rPr>
        <w:t>”</w:t>
      </w:r>
      <w:r>
        <w:rPr>
          <w:rFonts w:ascii="Times New Roman" w:eastAsia="宋体" w:hAnsi="Times New Roman" w:cs="Times New Roman"/>
          <w:sz w:val="24"/>
          <w:szCs w:val="24"/>
        </w:rPr>
        <w:t>，环比</w:t>
      </w:r>
      <w:r w:rsidR="00DF459B">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幅度最低的三个行业为</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农林牧渔业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Pr>
          <w:rFonts w:ascii="Times New Roman" w:eastAsia="宋体" w:hAnsi="Times New Roman" w:cs="Times New Roman"/>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食品、饮料和烟草业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DF459B" w:rsidRPr="00DF459B">
        <w:rPr>
          <w:rFonts w:ascii="Times New Roman" w:eastAsia="宋体" w:hAnsi="Times New Roman" w:cs="Times New Roman" w:hint="eastAsia"/>
          <w:sz w:val="24"/>
          <w:szCs w:val="24"/>
        </w:rPr>
        <w:t>公共管理和国防业；强制性社会保障</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，同比贬值幅度最低的三个行业为</w:t>
      </w:r>
      <w:r w:rsidR="000E47D5">
        <w:rPr>
          <w:rFonts w:ascii="Times New Roman" w:eastAsia="宋体" w:hAnsi="Times New Roman" w:cs="Times New Roman"/>
          <w:sz w:val="24"/>
          <w:szCs w:val="24"/>
        </w:rPr>
        <w:t xml:space="preserve"> “</w:t>
      </w:r>
      <w:r w:rsidR="000E47D5">
        <w:rPr>
          <w:rFonts w:ascii="Times New Roman" w:eastAsia="宋体" w:hAnsi="Times New Roman" w:cs="Times New Roman"/>
          <w:sz w:val="24"/>
          <w:szCs w:val="24"/>
        </w:rPr>
        <w:t>纺织材料和纺织制品业</w:t>
      </w:r>
      <w:r w:rsidR="000E47D5">
        <w:rPr>
          <w:rFonts w:ascii="Times New Roman" w:eastAsia="宋体" w:hAnsi="Times New Roman" w:cs="Times New Roman"/>
          <w:sz w:val="24"/>
          <w:szCs w:val="24"/>
        </w:rPr>
        <w:t>”</w:t>
      </w:r>
      <w:r w:rsidR="000E47D5">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教育</w:t>
      </w:r>
      <w:r>
        <w:rPr>
          <w:rFonts w:ascii="Times New Roman" w:eastAsia="宋体" w:hAnsi="Times New Roman" w:cs="Times New Roman"/>
          <w:sz w:val="24"/>
          <w:szCs w:val="24"/>
        </w:rPr>
        <w:t>”</w:t>
      </w:r>
      <w:r w:rsidR="000E47D5">
        <w:rPr>
          <w:rFonts w:ascii="Times New Roman" w:eastAsia="宋体" w:hAnsi="Times New Roman" w:cs="Times New Roman" w:hint="eastAsia"/>
          <w:sz w:val="24"/>
          <w:szCs w:val="24"/>
        </w:rPr>
        <w:t>、</w:t>
      </w:r>
      <w:r w:rsidR="000E47D5">
        <w:rPr>
          <w:rFonts w:ascii="Times New Roman" w:eastAsia="宋体" w:hAnsi="Times New Roman" w:cs="Times New Roman"/>
          <w:sz w:val="24"/>
          <w:szCs w:val="24"/>
        </w:rPr>
        <w:t>“</w:t>
      </w:r>
      <w:r w:rsidR="000E47D5" w:rsidRPr="000E47D5">
        <w:rPr>
          <w:rFonts w:ascii="Times New Roman" w:eastAsia="宋体" w:hAnsi="Times New Roman" w:cs="Times New Roman" w:hint="eastAsia"/>
          <w:sz w:val="24"/>
          <w:szCs w:val="24"/>
        </w:rPr>
        <w:t>皮革</w:t>
      </w:r>
      <w:r w:rsidR="000E47D5" w:rsidRPr="000E47D5">
        <w:rPr>
          <w:rFonts w:ascii="Times New Roman" w:eastAsia="宋体" w:hAnsi="Times New Roman" w:cs="Times New Roman"/>
          <w:sz w:val="24"/>
          <w:szCs w:val="24"/>
        </w:rPr>
        <w:t>,</w:t>
      </w:r>
      <w:r w:rsidR="000E47D5" w:rsidRPr="000E47D5">
        <w:rPr>
          <w:rFonts w:ascii="Times New Roman" w:eastAsia="宋体" w:hAnsi="Times New Roman" w:cs="Times New Roman"/>
          <w:sz w:val="24"/>
          <w:szCs w:val="24"/>
        </w:rPr>
        <w:t>皮革制品和鞋业</w:t>
      </w:r>
      <w:r w:rsidR="000E47D5">
        <w:rPr>
          <w:rFonts w:ascii="Times New Roman" w:eastAsia="宋体" w:hAnsi="Times New Roman" w:cs="Times New Roman"/>
          <w:sz w:val="24"/>
          <w:szCs w:val="24"/>
        </w:rPr>
        <w:t>”</w:t>
      </w:r>
      <w:r>
        <w:rPr>
          <w:rFonts w:ascii="Times New Roman" w:eastAsia="宋体" w:hAnsi="Times New Roman" w:cs="Times New Roman"/>
          <w:sz w:val="24"/>
          <w:szCs w:val="24"/>
        </w:rPr>
        <w:t>。</w:t>
      </w:r>
    </w:p>
    <w:p w:rsidR="004517A9" w:rsidRDefault="004517A9">
      <w:pPr>
        <w:spacing w:line="360" w:lineRule="auto"/>
        <w:ind w:firstLine="420"/>
        <w:jc w:val="right"/>
        <w:rPr>
          <w:rFonts w:ascii="Times New Roman" w:eastAsia="宋体" w:hAnsi="Times New Roman" w:cs="Times New Roman"/>
          <w:sz w:val="24"/>
          <w:szCs w:val="24"/>
        </w:rPr>
      </w:pPr>
    </w:p>
    <w:p w:rsidR="004517A9" w:rsidRDefault="00173D2C">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4517A9" w:rsidRDefault="00173D2C">
      <w:pPr>
        <w:pStyle w:val="a3"/>
        <w:keepNext/>
        <w:jc w:val="center"/>
        <w:rPr>
          <w:rFonts w:ascii="黑体" w:hAnsi="黑体" w:cs="Times New Roman"/>
        </w:rPr>
      </w:pPr>
      <w:r>
        <w:rPr>
          <w:rFonts w:ascii="黑体" w:hAnsi="黑体" w:cs="Times New Roman"/>
        </w:rPr>
        <w:lastRenderedPageBreak/>
        <w:t xml:space="preserve">图 </w:t>
      </w:r>
      <w:r w:rsidR="001C1298">
        <w:rPr>
          <w:rFonts w:ascii="黑体" w:hAnsi="黑体" w:cs="Times New Roman"/>
        </w:rPr>
        <w:fldChar w:fldCharType="begin"/>
      </w:r>
      <w:r>
        <w:rPr>
          <w:rFonts w:ascii="黑体" w:hAnsi="黑体" w:cs="Times New Roman"/>
        </w:rPr>
        <w:instrText xml:space="preserve"> SEQ 图 \* ARABIC </w:instrText>
      </w:r>
      <w:r w:rsidR="001C1298">
        <w:rPr>
          <w:rFonts w:ascii="黑体" w:hAnsi="黑体" w:cs="Times New Roman"/>
        </w:rPr>
        <w:fldChar w:fldCharType="separate"/>
      </w:r>
      <w:r>
        <w:rPr>
          <w:rFonts w:ascii="黑体" w:hAnsi="黑体" w:cs="Times New Roman"/>
        </w:rPr>
        <w:t>1</w:t>
      </w:r>
      <w:r w:rsidR="001C1298">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4517A9" w:rsidRDefault="00891C84">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14199"/>
            <wp:effectExtent l="19050" t="0" r="2540" b="0"/>
            <wp:docPr id="2" name="图片 1" descr="C:\Users\Administrator\AppData\Local\Temp\1585456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456480(1).png"/>
                    <pic:cNvPicPr>
                      <a:picLocks noChangeAspect="1" noChangeArrowheads="1"/>
                    </pic:cNvPicPr>
                  </pic:nvPicPr>
                  <pic:blipFill>
                    <a:blip r:embed="rId9" cstate="print"/>
                    <a:srcRect/>
                    <a:stretch>
                      <a:fillRect/>
                    </a:stretch>
                  </pic:blipFill>
                  <pic:spPr bwMode="auto">
                    <a:xfrm>
                      <a:off x="0" y="0"/>
                      <a:ext cx="5274310" cy="3214199"/>
                    </a:xfrm>
                    <a:prstGeom prst="rect">
                      <a:avLst/>
                    </a:prstGeom>
                    <a:noFill/>
                    <a:ln w="9525">
                      <a:noFill/>
                      <a:miter lim="800000"/>
                      <a:headEnd/>
                      <a:tailEnd/>
                    </a:ln>
                  </pic:spPr>
                </pic:pic>
              </a:graphicData>
            </a:graphic>
          </wp:inline>
        </w:drawing>
      </w:r>
    </w:p>
    <w:p w:rsidR="004517A9" w:rsidRDefault="00173D2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4517A9" w:rsidRDefault="00173D2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4517A9" w:rsidRDefault="004517A9">
      <w:pPr>
        <w:spacing w:line="360" w:lineRule="auto"/>
        <w:rPr>
          <w:rFonts w:ascii="Times New Roman" w:eastAsia="宋体" w:hAnsi="Times New Roman" w:cs="Times New Roman"/>
          <w:sz w:val="24"/>
          <w:szCs w:val="24"/>
        </w:rPr>
      </w:pPr>
    </w:p>
    <w:p w:rsidR="004517A9" w:rsidRDefault="00173D2C">
      <w:pPr>
        <w:pStyle w:val="a3"/>
        <w:keepNext/>
        <w:jc w:val="center"/>
        <w:rPr>
          <w:rFonts w:ascii="黑体" w:hAnsi="黑体" w:cs="Times New Roman"/>
        </w:rPr>
      </w:pPr>
      <w:r>
        <w:rPr>
          <w:rFonts w:ascii="黑体" w:hAnsi="黑体" w:cs="Times New Roman"/>
        </w:rPr>
        <w:t xml:space="preserve">图 </w:t>
      </w:r>
      <w:r w:rsidR="001C1298">
        <w:rPr>
          <w:rFonts w:ascii="黑体" w:hAnsi="黑体" w:cs="Times New Roman"/>
        </w:rPr>
        <w:fldChar w:fldCharType="begin"/>
      </w:r>
      <w:r>
        <w:rPr>
          <w:rFonts w:ascii="黑体" w:hAnsi="黑体" w:cs="Times New Roman"/>
        </w:rPr>
        <w:instrText xml:space="preserve"> SEQ 图 \* ARABIC </w:instrText>
      </w:r>
      <w:r w:rsidR="001C1298">
        <w:rPr>
          <w:rFonts w:ascii="黑体" w:hAnsi="黑体" w:cs="Times New Roman"/>
        </w:rPr>
        <w:fldChar w:fldCharType="separate"/>
      </w:r>
      <w:r>
        <w:rPr>
          <w:rFonts w:ascii="黑体" w:hAnsi="黑体" w:cs="Times New Roman"/>
        </w:rPr>
        <w:t>2</w:t>
      </w:r>
      <w:r w:rsidR="001C1298">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4517A9" w:rsidRDefault="00891C84">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314154"/>
            <wp:effectExtent l="19050" t="0" r="2540" b="0"/>
            <wp:docPr id="4" name="图片 2" descr="C:\Users\Administrator\AppData\Local\Temp\1585456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456666(1).png"/>
                    <pic:cNvPicPr>
                      <a:picLocks noChangeAspect="1" noChangeArrowheads="1"/>
                    </pic:cNvPicPr>
                  </pic:nvPicPr>
                  <pic:blipFill>
                    <a:blip r:embed="rId10" cstate="print"/>
                    <a:srcRect/>
                    <a:stretch>
                      <a:fillRect/>
                    </a:stretch>
                  </pic:blipFill>
                  <pic:spPr bwMode="auto">
                    <a:xfrm>
                      <a:off x="0" y="0"/>
                      <a:ext cx="5274310" cy="3314154"/>
                    </a:xfrm>
                    <a:prstGeom prst="rect">
                      <a:avLst/>
                    </a:prstGeom>
                    <a:noFill/>
                    <a:ln w="9525">
                      <a:noFill/>
                      <a:miter lim="800000"/>
                      <a:headEnd/>
                      <a:tailEnd/>
                    </a:ln>
                  </pic:spPr>
                </pic:pic>
              </a:graphicData>
            </a:graphic>
          </wp:inline>
        </w:drawing>
      </w:r>
    </w:p>
    <w:p w:rsidR="004517A9" w:rsidRDefault="00173D2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4517A9" w:rsidRDefault="00173D2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4517A9" w:rsidRDefault="004517A9">
      <w:pPr>
        <w:spacing w:line="360" w:lineRule="auto"/>
        <w:ind w:firstLine="420"/>
        <w:rPr>
          <w:rFonts w:ascii="Times New Roman" w:eastAsia="宋体" w:hAnsi="Times New Roman" w:cs="Times New Roman"/>
          <w:sz w:val="24"/>
          <w:szCs w:val="24"/>
        </w:rPr>
      </w:pPr>
    </w:p>
    <w:p w:rsidR="004517A9" w:rsidRDefault="00173D2C">
      <w:pPr>
        <w:pStyle w:val="a3"/>
        <w:keepNext/>
        <w:jc w:val="center"/>
      </w:pPr>
      <w:r>
        <w:t>表</w:t>
      </w:r>
      <w:r>
        <w:t xml:space="preserve"> </w:t>
      </w:r>
      <w:r w:rsidR="001C1298">
        <w:fldChar w:fldCharType="begin"/>
      </w:r>
      <w:r>
        <w:instrText xml:space="preserve"> SEQ </w:instrText>
      </w:r>
      <w:r>
        <w:instrText>表格</w:instrText>
      </w:r>
      <w:r>
        <w:instrText xml:space="preserve"> \* ARABIC </w:instrText>
      </w:r>
      <w:r w:rsidR="001C1298">
        <w:fldChar w:fldCharType="separate"/>
      </w:r>
      <w:r>
        <w:t>1</w:t>
      </w:r>
      <w:r w:rsidR="001C1298">
        <w:fldChar w:fldCharType="end"/>
      </w:r>
      <w:r>
        <w:t xml:space="preserve"> </w:t>
      </w:r>
      <w:r>
        <w:rPr>
          <w:rFonts w:hint="eastAsia"/>
        </w:rPr>
        <w:t>分行业基于增加值人民币有效汇率环比变动（</w:t>
      </w:r>
      <w:r>
        <w:rPr>
          <w:rFonts w:hint="eastAsia"/>
        </w:rPr>
        <w:t>2019</w:t>
      </w:r>
      <w:r>
        <w:rPr>
          <w:rFonts w:hint="eastAsia"/>
        </w:rPr>
        <w:t>年</w:t>
      </w:r>
      <w:r w:rsidR="00B136D3">
        <w:rPr>
          <w:rFonts w:hint="eastAsia"/>
        </w:rPr>
        <w:t>7</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1338"/>
      </w:tblGrid>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Times New Roman"/>
                <w:b/>
                <w:bCs/>
                <w:color w:val="000000"/>
                <w:kern w:val="0"/>
                <w:szCs w:val="21"/>
              </w:rPr>
            </w:pPr>
            <w:r w:rsidRPr="00B136D3">
              <w:rPr>
                <w:rFonts w:ascii="宋体" w:eastAsia="宋体" w:hAnsi="宋体" w:cs="Times New Roman"/>
                <w:b/>
                <w:bCs/>
                <w:color w:val="000000"/>
                <w:kern w:val="0"/>
                <w:szCs w:val="21"/>
              </w:rPr>
              <w:t>行业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Times New Roman"/>
                <w:b/>
                <w:bCs/>
                <w:color w:val="000000"/>
                <w:kern w:val="0"/>
                <w:szCs w:val="21"/>
              </w:rPr>
            </w:pPr>
            <w:r w:rsidRPr="00B136D3">
              <w:rPr>
                <w:rFonts w:ascii="宋体" w:eastAsia="宋体" w:hAnsi="宋体" w:cs="Times New Roman"/>
                <w:b/>
                <w:bCs/>
                <w:color w:val="000000"/>
                <w:kern w:val="0"/>
                <w:szCs w:val="21"/>
              </w:rPr>
              <w:t>上月环比</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建筑业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0.55%</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设备制造业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0.54%</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租赁和商务服务业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0.52%</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教育</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0.51%</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水路运输业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0.50%</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运输设备业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0.49%</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其他支持和辅助运输业；旅行社活动</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0.48%</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其他社区、社会和个人服务</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0.44%</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电气和光学设备制造业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0.43%</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航空运输业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0.42%</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橡胶和塑料制品业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0.39%</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邮政通讯业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0.37%</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金融业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0.35%</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化学品和化工产品制造业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0.35%</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卫生和社会工作</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0.35%</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金属和金属制品业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0.34%</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公共管理和国防业；强制性社会保障</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0.34%</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其他非金属矿物制品业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0.33%</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房地产业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0.32%</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其他制造业（含回收利用）</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0.31%</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纸浆、纸、纸张、印刷和出版业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0.30%</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酒店和餐饮业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0.29%</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电力、燃气、水的供应业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0.29%</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批发贸易和经纪贸易(除了汽车和摩托车)</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0.27%</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皮革,皮革制品和鞋业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0.25%</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食品、饮料和烟草业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0.23%</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零售贸易（除了汽车和摩托车）,家用商品修理</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0.20%</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木材、木材制品业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0.20%</w:t>
            </w:r>
          </w:p>
        </w:tc>
      </w:tr>
      <w:tr w:rsidR="00B136D3" w:rsidRPr="00B136D3" w:rsidTr="00B136D3">
        <w:trPr>
          <w:trHeight w:val="270"/>
          <w:jc w:val="center"/>
        </w:trPr>
        <w:tc>
          <w:tcPr>
            <w:tcW w:w="4492"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内陆运输业</w:t>
            </w:r>
          </w:p>
        </w:tc>
        <w:tc>
          <w:tcPr>
            <w:tcW w:w="1100" w:type="dxa"/>
            <w:shd w:val="clear" w:color="auto" w:fill="auto"/>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0.16%</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纺织材料和纺织制品业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0.09%</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石油加工、炼焦及核燃料加工业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0.02%</w:t>
            </w:r>
          </w:p>
        </w:tc>
      </w:tr>
      <w:tr w:rsidR="00B136D3" w:rsidRPr="00B136D3" w:rsidTr="00B136D3">
        <w:trPr>
          <w:trHeight w:val="270"/>
          <w:jc w:val="center"/>
        </w:trPr>
        <w:tc>
          <w:tcPr>
            <w:tcW w:w="4492" w:type="dxa"/>
            <w:shd w:val="clear" w:color="000000" w:fill="00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农林牧渔业</w:t>
            </w:r>
          </w:p>
        </w:tc>
        <w:tc>
          <w:tcPr>
            <w:tcW w:w="1100" w:type="dxa"/>
            <w:shd w:val="clear" w:color="000000" w:fill="00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-0.03%</w:t>
            </w:r>
          </w:p>
        </w:tc>
      </w:tr>
      <w:tr w:rsidR="00B136D3" w:rsidRPr="00B136D3" w:rsidTr="00B136D3">
        <w:trPr>
          <w:trHeight w:val="270"/>
          <w:jc w:val="center"/>
        </w:trPr>
        <w:tc>
          <w:tcPr>
            <w:tcW w:w="4492"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采矿和采石业</w:t>
            </w:r>
          </w:p>
        </w:tc>
        <w:tc>
          <w:tcPr>
            <w:tcW w:w="1100" w:type="dxa"/>
            <w:shd w:val="clear" w:color="000000" w:fill="FFFF00"/>
            <w:noWrap/>
            <w:vAlign w:val="center"/>
            <w:hideMark/>
          </w:tcPr>
          <w:p w:rsidR="00B136D3" w:rsidRPr="00B136D3" w:rsidRDefault="00B136D3" w:rsidP="00B136D3">
            <w:pPr>
              <w:widowControl/>
              <w:jc w:val="center"/>
              <w:rPr>
                <w:rFonts w:ascii="宋体" w:eastAsia="宋体" w:hAnsi="宋体" w:cs="宋体"/>
                <w:color w:val="000000"/>
                <w:kern w:val="0"/>
                <w:szCs w:val="21"/>
              </w:rPr>
            </w:pPr>
            <w:r w:rsidRPr="00B136D3">
              <w:rPr>
                <w:rFonts w:ascii="宋体" w:eastAsia="宋体" w:hAnsi="宋体" w:cs="宋体" w:hint="eastAsia"/>
                <w:color w:val="000000"/>
                <w:kern w:val="0"/>
                <w:szCs w:val="21"/>
              </w:rPr>
              <w:t>-0.43%</w:t>
            </w:r>
          </w:p>
        </w:tc>
      </w:tr>
    </w:tbl>
    <w:p w:rsidR="004517A9" w:rsidRDefault="00173D2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4517A9" w:rsidRDefault="00173D2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4517A9" w:rsidRDefault="004517A9">
      <w:pPr>
        <w:spacing w:line="360" w:lineRule="auto"/>
        <w:ind w:firstLine="420"/>
        <w:rPr>
          <w:rFonts w:ascii="Times New Roman" w:eastAsia="宋体" w:hAnsi="Times New Roman" w:cs="Times New Roman"/>
          <w:sz w:val="18"/>
          <w:szCs w:val="18"/>
        </w:rPr>
      </w:pPr>
    </w:p>
    <w:p w:rsidR="00DF459B" w:rsidRDefault="00DF459B">
      <w:pPr>
        <w:spacing w:line="360" w:lineRule="auto"/>
        <w:ind w:firstLine="420"/>
        <w:rPr>
          <w:rFonts w:ascii="Times New Roman" w:eastAsia="宋体" w:hAnsi="Times New Roman" w:cs="Times New Roman"/>
          <w:sz w:val="18"/>
          <w:szCs w:val="18"/>
        </w:rPr>
      </w:pPr>
    </w:p>
    <w:p w:rsidR="004517A9" w:rsidRDefault="00173D2C">
      <w:pPr>
        <w:pStyle w:val="a3"/>
        <w:keepNext/>
        <w:jc w:val="center"/>
      </w:pPr>
      <w:r>
        <w:lastRenderedPageBreak/>
        <w:t>表格</w:t>
      </w:r>
      <w:r>
        <w:t xml:space="preserve"> </w:t>
      </w:r>
      <w:r w:rsidR="001C1298">
        <w:fldChar w:fldCharType="begin"/>
      </w:r>
      <w:r>
        <w:instrText xml:space="preserve"> SEQ </w:instrText>
      </w:r>
      <w:r>
        <w:instrText>表格</w:instrText>
      </w:r>
      <w:r>
        <w:instrText xml:space="preserve"> \* ARABIC </w:instrText>
      </w:r>
      <w:r w:rsidR="001C1298">
        <w:fldChar w:fldCharType="separate"/>
      </w:r>
      <w:r>
        <w:t>2</w:t>
      </w:r>
      <w:r w:rsidR="001C1298">
        <w:fldChar w:fldCharType="end"/>
      </w:r>
      <w:r>
        <w:t xml:space="preserve"> </w:t>
      </w:r>
      <w:r>
        <w:rPr>
          <w:rFonts w:hint="eastAsia"/>
        </w:rPr>
        <w:t>分行业基于增加值人民币有效汇率同比变动（</w:t>
      </w:r>
      <w:r>
        <w:rPr>
          <w:rFonts w:hint="eastAsia"/>
        </w:rPr>
        <w:t>2019</w:t>
      </w:r>
      <w:r>
        <w:rPr>
          <w:rFonts w:hint="eastAsia"/>
        </w:rPr>
        <w:t>年</w:t>
      </w:r>
      <w:r w:rsidR="00DF459B">
        <w:rPr>
          <w:rFonts w:hint="eastAsia"/>
        </w:rPr>
        <w:t>7</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Times New Roman"/>
                <w:color w:val="000000"/>
                <w:kern w:val="0"/>
                <w:szCs w:val="21"/>
              </w:rPr>
            </w:pPr>
            <w:r w:rsidRPr="00DF459B">
              <w:rPr>
                <w:rFonts w:ascii="宋体" w:eastAsia="宋体" w:hAnsi="宋体" w:cs="Times New Roman"/>
                <w:color w:val="000000"/>
                <w:kern w:val="0"/>
                <w:szCs w:val="21"/>
              </w:rPr>
              <w:t>行业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Times New Roman"/>
                <w:color w:val="000000"/>
                <w:kern w:val="0"/>
                <w:szCs w:val="21"/>
              </w:rPr>
            </w:pPr>
            <w:r w:rsidRPr="00DF459B">
              <w:rPr>
                <w:rFonts w:ascii="宋体" w:eastAsia="宋体" w:hAnsi="宋体" w:cs="Times New Roman"/>
                <w:color w:val="000000"/>
                <w:kern w:val="0"/>
                <w:szCs w:val="21"/>
              </w:rPr>
              <w:t>上年同比</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-2.01%</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-1.07%</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-1.06%</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-1.05%</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-1.04%</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-0.91%</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-0.91%</w:t>
            </w:r>
          </w:p>
        </w:tc>
      </w:tr>
      <w:tr w:rsidR="00DF459B" w:rsidRPr="00DF459B" w:rsidTr="00DF459B">
        <w:trPr>
          <w:trHeight w:val="270"/>
          <w:jc w:val="center"/>
        </w:trPr>
        <w:tc>
          <w:tcPr>
            <w:tcW w:w="4490" w:type="dxa"/>
            <w:shd w:val="clear" w:color="000000" w:fill="00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-0.89%</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-0.87%</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-0.85%</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-0.81%</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-0.71%</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-0.71%</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金融业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-0.69%</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-0.68%</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内陆运输业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-0.66%</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-0.65%</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航空运输业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-0.62%</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-0.54%</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-0.47%</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-0.46%</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-0.42%</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-0.42%</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-0.39%</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房地产业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-0.30%</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邮政通讯业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-0.29%</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水路运输业</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-0.28%</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-0.16%</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-0.14%</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建筑业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0.25%</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0.30%</w:t>
            </w:r>
          </w:p>
        </w:tc>
      </w:tr>
      <w:tr w:rsidR="00DF459B" w:rsidRPr="00DF459B" w:rsidTr="00DF459B">
        <w:trPr>
          <w:trHeight w:val="270"/>
          <w:jc w:val="center"/>
        </w:trPr>
        <w:tc>
          <w:tcPr>
            <w:tcW w:w="449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教育</w:t>
            </w:r>
          </w:p>
        </w:tc>
        <w:tc>
          <w:tcPr>
            <w:tcW w:w="1080" w:type="dxa"/>
            <w:shd w:val="clear" w:color="auto" w:fill="auto"/>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0.65%</w:t>
            </w:r>
          </w:p>
        </w:tc>
      </w:tr>
      <w:tr w:rsidR="00DF459B" w:rsidRPr="00DF459B" w:rsidTr="00DF459B">
        <w:trPr>
          <w:trHeight w:val="270"/>
          <w:jc w:val="center"/>
        </w:trPr>
        <w:tc>
          <w:tcPr>
            <w:tcW w:w="449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DF459B" w:rsidRPr="00DF459B" w:rsidRDefault="00DF459B" w:rsidP="00DF459B">
            <w:pPr>
              <w:widowControl/>
              <w:jc w:val="center"/>
              <w:rPr>
                <w:rFonts w:ascii="宋体" w:eastAsia="宋体" w:hAnsi="宋体" w:cs="宋体"/>
                <w:color w:val="000000"/>
                <w:kern w:val="0"/>
                <w:szCs w:val="21"/>
              </w:rPr>
            </w:pPr>
            <w:r w:rsidRPr="00DF459B">
              <w:rPr>
                <w:rFonts w:ascii="宋体" w:eastAsia="宋体" w:hAnsi="宋体" w:cs="宋体" w:hint="eastAsia"/>
                <w:color w:val="000000"/>
                <w:kern w:val="0"/>
                <w:szCs w:val="21"/>
              </w:rPr>
              <w:t>0.74%</w:t>
            </w:r>
          </w:p>
        </w:tc>
      </w:tr>
    </w:tbl>
    <w:p w:rsidR="004517A9" w:rsidRDefault="004517A9">
      <w:pPr>
        <w:spacing w:line="360" w:lineRule="auto"/>
        <w:jc w:val="center"/>
        <w:rPr>
          <w:rFonts w:ascii="Times New Roman" w:eastAsia="宋体" w:hAnsi="Times New Roman" w:cs="Times New Roman"/>
          <w:sz w:val="24"/>
          <w:szCs w:val="24"/>
        </w:rPr>
      </w:pPr>
    </w:p>
    <w:sectPr w:rsidR="004517A9" w:rsidSect="004517A9">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CC" w:rsidRDefault="00C87ACC" w:rsidP="004517A9">
      <w:r>
        <w:separator/>
      </w:r>
    </w:p>
  </w:endnote>
  <w:endnote w:type="continuationSeparator" w:id="0">
    <w:p w:rsidR="00C87ACC" w:rsidRDefault="00C87ACC" w:rsidP="0045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CC" w:rsidRDefault="00C87ACC" w:rsidP="004517A9">
      <w:r>
        <w:separator/>
      </w:r>
    </w:p>
  </w:footnote>
  <w:footnote w:type="continuationSeparator" w:id="0">
    <w:p w:rsidR="00C87ACC" w:rsidRDefault="00C87ACC" w:rsidP="00451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A9" w:rsidRDefault="001C1298">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4517A9" w:rsidRDefault="00173D2C">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E47D5"/>
    <w:rsid w:val="000E6CCC"/>
    <w:rsid w:val="000F7043"/>
    <w:rsid w:val="0013466D"/>
    <w:rsid w:val="001657EF"/>
    <w:rsid w:val="00173D2C"/>
    <w:rsid w:val="001A5BBB"/>
    <w:rsid w:val="001C1298"/>
    <w:rsid w:val="002034D7"/>
    <w:rsid w:val="002041B5"/>
    <w:rsid w:val="00210905"/>
    <w:rsid w:val="002E1669"/>
    <w:rsid w:val="0030403D"/>
    <w:rsid w:val="0033361A"/>
    <w:rsid w:val="0033543A"/>
    <w:rsid w:val="00364641"/>
    <w:rsid w:val="003A7DF6"/>
    <w:rsid w:val="003B0439"/>
    <w:rsid w:val="003E40C8"/>
    <w:rsid w:val="00420555"/>
    <w:rsid w:val="004517A9"/>
    <w:rsid w:val="00484922"/>
    <w:rsid w:val="004F5D81"/>
    <w:rsid w:val="00506398"/>
    <w:rsid w:val="00510CF4"/>
    <w:rsid w:val="00581E14"/>
    <w:rsid w:val="00590700"/>
    <w:rsid w:val="005B7DA5"/>
    <w:rsid w:val="005F1EFD"/>
    <w:rsid w:val="00626C75"/>
    <w:rsid w:val="0063138E"/>
    <w:rsid w:val="0066223B"/>
    <w:rsid w:val="0066259E"/>
    <w:rsid w:val="00666767"/>
    <w:rsid w:val="00673ABE"/>
    <w:rsid w:val="00696DBB"/>
    <w:rsid w:val="006B6952"/>
    <w:rsid w:val="006C3B74"/>
    <w:rsid w:val="006E0C35"/>
    <w:rsid w:val="0070118B"/>
    <w:rsid w:val="0072145D"/>
    <w:rsid w:val="00735A5F"/>
    <w:rsid w:val="0077323E"/>
    <w:rsid w:val="007C10A0"/>
    <w:rsid w:val="007C1E64"/>
    <w:rsid w:val="007E6589"/>
    <w:rsid w:val="00884DA6"/>
    <w:rsid w:val="00891C84"/>
    <w:rsid w:val="008B2ABC"/>
    <w:rsid w:val="00921727"/>
    <w:rsid w:val="00930401"/>
    <w:rsid w:val="00934FD1"/>
    <w:rsid w:val="00971781"/>
    <w:rsid w:val="00973962"/>
    <w:rsid w:val="009A228C"/>
    <w:rsid w:val="009F1DB0"/>
    <w:rsid w:val="00A522C7"/>
    <w:rsid w:val="00A62132"/>
    <w:rsid w:val="00A62A9C"/>
    <w:rsid w:val="00A76629"/>
    <w:rsid w:val="00A768B8"/>
    <w:rsid w:val="00A952E7"/>
    <w:rsid w:val="00AB160F"/>
    <w:rsid w:val="00B136D3"/>
    <w:rsid w:val="00B35328"/>
    <w:rsid w:val="00B4321C"/>
    <w:rsid w:val="00C57878"/>
    <w:rsid w:val="00C87ACC"/>
    <w:rsid w:val="00C968D0"/>
    <w:rsid w:val="00CB292B"/>
    <w:rsid w:val="00CC1B60"/>
    <w:rsid w:val="00CC52EF"/>
    <w:rsid w:val="00CD328F"/>
    <w:rsid w:val="00CE77E0"/>
    <w:rsid w:val="00D44972"/>
    <w:rsid w:val="00DB1B58"/>
    <w:rsid w:val="00DF459B"/>
    <w:rsid w:val="00E25128"/>
    <w:rsid w:val="00E5333D"/>
    <w:rsid w:val="00E64D05"/>
    <w:rsid w:val="00E8756C"/>
    <w:rsid w:val="00EC5B11"/>
    <w:rsid w:val="00F16000"/>
    <w:rsid w:val="00F30C3C"/>
    <w:rsid w:val="00F92931"/>
    <w:rsid w:val="00FB13AE"/>
    <w:rsid w:val="00FB312C"/>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A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517A9"/>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4517A9"/>
    <w:rPr>
      <w:sz w:val="18"/>
      <w:szCs w:val="18"/>
    </w:rPr>
  </w:style>
  <w:style w:type="paragraph" w:styleId="a5">
    <w:name w:val="footer"/>
    <w:basedOn w:val="a"/>
    <w:link w:val="Char0"/>
    <w:uiPriority w:val="99"/>
    <w:unhideWhenUsed/>
    <w:qFormat/>
    <w:rsid w:val="004517A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517A9"/>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4517A9"/>
    <w:rPr>
      <w:color w:val="0563C1" w:themeColor="hyperlink"/>
      <w:u w:val="single"/>
    </w:rPr>
  </w:style>
  <w:style w:type="character" w:customStyle="1" w:styleId="Char1">
    <w:name w:val="页眉 Char"/>
    <w:basedOn w:val="a0"/>
    <w:link w:val="a6"/>
    <w:uiPriority w:val="99"/>
    <w:qFormat/>
    <w:rsid w:val="004517A9"/>
    <w:rPr>
      <w:sz w:val="18"/>
      <w:szCs w:val="18"/>
    </w:rPr>
  </w:style>
  <w:style w:type="character" w:customStyle="1" w:styleId="Char0">
    <w:name w:val="页脚 Char"/>
    <w:basedOn w:val="a0"/>
    <w:link w:val="a5"/>
    <w:uiPriority w:val="99"/>
    <w:qFormat/>
    <w:rsid w:val="004517A9"/>
    <w:rPr>
      <w:sz w:val="18"/>
      <w:szCs w:val="18"/>
    </w:rPr>
  </w:style>
  <w:style w:type="paragraph" w:styleId="a8">
    <w:name w:val="List Paragraph"/>
    <w:basedOn w:val="a"/>
    <w:uiPriority w:val="34"/>
    <w:qFormat/>
    <w:rsid w:val="004517A9"/>
    <w:pPr>
      <w:ind w:firstLineChars="200" w:firstLine="420"/>
    </w:pPr>
  </w:style>
  <w:style w:type="character" w:customStyle="1" w:styleId="Char">
    <w:name w:val="批注框文本 Char"/>
    <w:basedOn w:val="a0"/>
    <w:link w:val="a4"/>
    <w:uiPriority w:val="99"/>
    <w:semiHidden/>
    <w:qFormat/>
    <w:rsid w:val="004517A9"/>
    <w:rPr>
      <w:sz w:val="18"/>
      <w:szCs w:val="18"/>
    </w:rPr>
  </w:style>
  <w:style w:type="character" w:customStyle="1" w:styleId="Mention">
    <w:name w:val="Mention"/>
    <w:basedOn w:val="a0"/>
    <w:uiPriority w:val="99"/>
    <w:semiHidden/>
    <w:unhideWhenUsed/>
    <w:qFormat/>
    <w:rsid w:val="004517A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443300029">
      <w:bodyDiv w:val="1"/>
      <w:marLeft w:val="0"/>
      <w:marRight w:val="0"/>
      <w:marTop w:val="0"/>
      <w:marBottom w:val="0"/>
      <w:divBdr>
        <w:top w:val="none" w:sz="0" w:space="0" w:color="auto"/>
        <w:left w:val="none" w:sz="0" w:space="0" w:color="auto"/>
        <w:bottom w:val="none" w:sz="0" w:space="0" w:color="auto"/>
        <w:right w:val="none" w:sz="0" w:space="0" w:color="auto"/>
      </w:divBdr>
    </w:div>
    <w:div w:id="160202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45A6F-3465-4CD0-9BB4-B6BCBD89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363</Words>
  <Characters>2075</Characters>
  <Application>Microsoft Office Word</Application>
  <DocSecurity>0</DocSecurity>
  <Lines>17</Lines>
  <Paragraphs>4</Paragraphs>
  <ScaleCrop>false</ScaleCrop>
  <Company>微软中国</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7</cp:revision>
  <dcterms:created xsi:type="dcterms:W3CDTF">2020-03-29T04:11:00Z</dcterms:created>
  <dcterms:modified xsi:type="dcterms:W3CDTF">2020-03-30T00:47:00Z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