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7A9" w:rsidRDefault="004517A9">
      <w:pPr>
        <w:spacing w:line="360" w:lineRule="auto"/>
        <w:jc w:val="center"/>
        <w:rPr>
          <w:rFonts w:ascii="Times New Roman" w:eastAsia="宋体" w:hAnsi="Times New Roman" w:cs="Times New Roman"/>
          <w:sz w:val="24"/>
          <w:szCs w:val="24"/>
        </w:rPr>
      </w:pPr>
    </w:p>
    <w:p w:rsidR="004517A9" w:rsidRDefault="00173D2C">
      <w:pPr>
        <w:spacing w:line="360" w:lineRule="auto"/>
        <w:jc w:val="center"/>
        <w:rPr>
          <w:rFonts w:ascii="Times New Roman" w:eastAsia="宋体" w:hAnsi="Times New Roman" w:cs="Times New Roman"/>
          <w:b/>
          <w:sz w:val="30"/>
          <w:szCs w:val="30"/>
        </w:rPr>
      </w:pPr>
      <w:r>
        <w:rPr>
          <w:rFonts w:ascii="Times New Roman" w:eastAsia="宋体" w:hAnsi="Times New Roman" w:cs="Times New Roman"/>
          <w:b/>
          <w:sz w:val="30"/>
          <w:szCs w:val="30"/>
        </w:rPr>
        <w:t>基于增加值人民币有效汇率数据月报（</w:t>
      </w:r>
      <w:r>
        <w:rPr>
          <w:rFonts w:ascii="Times New Roman" w:eastAsia="宋体" w:hAnsi="Times New Roman" w:cs="Times New Roman"/>
          <w:b/>
          <w:sz w:val="30"/>
          <w:szCs w:val="30"/>
        </w:rPr>
        <w:t>201</w:t>
      </w:r>
      <w:r>
        <w:rPr>
          <w:rFonts w:ascii="Times New Roman" w:eastAsia="宋体" w:hAnsi="Times New Roman" w:cs="Times New Roman" w:hint="eastAsia"/>
          <w:b/>
          <w:sz w:val="30"/>
          <w:szCs w:val="30"/>
        </w:rPr>
        <w:t>9</w:t>
      </w:r>
      <w:r>
        <w:rPr>
          <w:rFonts w:ascii="Times New Roman" w:eastAsia="宋体" w:hAnsi="Times New Roman" w:cs="Times New Roman"/>
          <w:b/>
          <w:sz w:val="30"/>
          <w:szCs w:val="30"/>
        </w:rPr>
        <w:t>年</w:t>
      </w:r>
      <w:r w:rsidR="00B4321C">
        <w:rPr>
          <w:rFonts w:ascii="Times New Roman" w:eastAsia="宋体" w:hAnsi="Times New Roman" w:cs="Times New Roman" w:hint="eastAsia"/>
          <w:b/>
          <w:sz w:val="30"/>
          <w:szCs w:val="30"/>
        </w:rPr>
        <w:t>7</w:t>
      </w:r>
      <w:r>
        <w:rPr>
          <w:rFonts w:ascii="Times New Roman" w:eastAsia="宋体" w:hAnsi="Times New Roman" w:cs="Times New Roman"/>
          <w:b/>
          <w:sz w:val="30"/>
          <w:szCs w:val="30"/>
        </w:rPr>
        <w:t>月）</w:t>
      </w:r>
    </w:p>
    <w:p w:rsidR="004517A9" w:rsidRDefault="004517A9">
      <w:pPr>
        <w:spacing w:line="360" w:lineRule="auto"/>
        <w:jc w:val="center"/>
        <w:rPr>
          <w:rFonts w:ascii="Times New Roman" w:eastAsia="宋体" w:hAnsi="Times New Roman" w:cs="Times New Roman"/>
          <w:b/>
          <w:sz w:val="30"/>
          <w:szCs w:val="30"/>
        </w:rPr>
      </w:pPr>
    </w:p>
    <w:p w:rsidR="004517A9" w:rsidRDefault="00173D2C">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 xml:space="preserve"> </w:t>
      </w:r>
      <w:r>
        <w:rPr>
          <w:rFonts w:ascii="Times New Roman" w:eastAsia="宋体" w:hAnsi="Times New Roman" w:cs="Times New Roman"/>
          <w:b/>
          <w:sz w:val="24"/>
          <w:szCs w:val="24"/>
        </w:rPr>
        <w:t>201</w:t>
      </w:r>
      <w:r>
        <w:rPr>
          <w:rFonts w:ascii="Times New Roman" w:eastAsia="宋体" w:hAnsi="Times New Roman" w:cs="Times New Roman" w:hint="eastAsia"/>
          <w:b/>
          <w:sz w:val="24"/>
          <w:szCs w:val="24"/>
        </w:rPr>
        <w:t>9</w:t>
      </w:r>
      <w:r>
        <w:rPr>
          <w:rFonts w:ascii="Times New Roman" w:eastAsia="宋体" w:hAnsi="Times New Roman" w:cs="Times New Roman" w:hint="eastAsia"/>
          <w:b/>
          <w:sz w:val="24"/>
          <w:szCs w:val="24"/>
        </w:rPr>
        <w:t>年</w:t>
      </w:r>
      <w:r w:rsidR="00DF459B">
        <w:rPr>
          <w:rFonts w:ascii="Times New Roman" w:eastAsia="宋体" w:hAnsi="Times New Roman" w:cs="Times New Roman" w:hint="eastAsia"/>
          <w:b/>
          <w:sz w:val="24"/>
          <w:szCs w:val="24"/>
        </w:rPr>
        <w:t>7</w:t>
      </w:r>
      <w:r>
        <w:rPr>
          <w:rFonts w:ascii="Times New Roman" w:eastAsia="宋体" w:hAnsi="Times New Roman" w:cs="Times New Roman" w:hint="eastAsia"/>
          <w:b/>
          <w:sz w:val="24"/>
          <w:szCs w:val="24"/>
        </w:rPr>
        <w:t>月，加总的基于增加值人民币有效汇率上月环比</w:t>
      </w:r>
      <w:r w:rsidR="00DF459B">
        <w:rPr>
          <w:rFonts w:ascii="Times New Roman" w:eastAsia="宋体" w:hAnsi="Times New Roman" w:cs="Times New Roman" w:hint="eastAsia"/>
          <w:b/>
          <w:sz w:val="24"/>
          <w:szCs w:val="24"/>
        </w:rPr>
        <w:t>升值</w:t>
      </w:r>
      <w:r w:rsidR="00DF459B">
        <w:rPr>
          <w:rFonts w:ascii="Times New Roman" w:eastAsia="宋体" w:hAnsi="Times New Roman" w:cs="Times New Roman" w:hint="eastAsia"/>
          <w:b/>
          <w:sz w:val="24"/>
          <w:szCs w:val="24"/>
        </w:rPr>
        <w:t>0.29</w:t>
      </w:r>
      <w:r>
        <w:rPr>
          <w:rFonts w:ascii="Times New Roman" w:eastAsia="宋体" w:hAnsi="Times New Roman" w:cs="Times New Roman"/>
          <w:b/>
          <w:sz w:val="24"/>
          <w:szCs w:val="24"/>
        </w:rPr>
        <w:t>%</w:t>
      </w:r>
      <w:r>
        <w:rPr>
          <w:rFonts w:ascii="Times New Roman" w:eastAsia="宋体" w:hAnsi="Times New Roman" w:cs="Times New Roman" w:hint="eastAsia"/>
          <w:b/>
          <w:sz w:val="24"/>
          <w:szCs w:val="24"/>
        </w:rPr>
        <w:t>，上年同比贬值</w:t>
      </w:r>
      <w:r w:rsidR="00DF459B">
        <w:rPr>
          <w:rFonts w:ascii="Times New Roman" w:eastAsia="宋体" w:hAnsi="Times New Roman" w:cs="Times New Roman" w:hint="eastAsia"/>
          <w:b/>
          <w:sz w:val="24"/>
          <w:szCs w:val="24"/>
        </w:rPr>
        <w:t>0.69</w:t>
      </w:r>
      <w:r>
        <w:rPr>
          <w:rFonts w:ascii="Times New Roman" w:eastAsia="宋体" w:hAnsi="Times New Roman" w:cs="Times New Roman"/>
          <w:b/>
          <w:sz w:val="24"/>
          <w:szCs w:val="24"/>
        </w:rPr>
        <w:t>%</w:t>
      </w:r>
      <w:r>
        <w:rPr>
          <w:rFonts w:ascii="Times New Roman" w:eastAsia="宋体" w:hAnsi="Times New Roman" w:cs="Times New Roman"/>
          <w:sz w:val="24"/>
          <w:szCs w:val="24"/>
        </w:rPr>
        <w:t>（图</w:t>
      </w:r>
      <w:r>
        <w:rPr>
          <w:rFonts w:ascii="Times New Roman" w:eastAsia="宋体" w:hAnsi="Times New Roman" w:cs="Times New Roman"/>
          <w:sz w:val="24"/>
          <w:szCs w:val="24"/>
        </w:rPr>
        <w:t>1</w:t>
      </w:r>
      <w:r>
        <w:rPr>
          <w:rFonts w:ascii="Times New Roman" w:eastAsia="宋体" w:hAnsi="Times New Roman" w:cs="Times New Roman"/>
          <w:sz w:val="24"/>
          <w:szCs w:val="24"/>
        </w:rPr>
        <w:t>）。同一时期，</w:t>
      </w:r>
      <w:r>
        <w:rPr>
          <w:rFonts w:ascii="Times New Roman" w:eastAsia="宋体" w:hAnsi="Times New Roman" w:cs="Times New Roman"/>
          <w:sz w:val="24"/>
          <w:szCs w:val="24"/>
        </w:rPr>
        <w:t>BIS</w:t>
      </w:r>
      <w:r>
        <w:rPr>
          <w:rFonts w:ascii="Times New Roman" w:eastAsia="宋体" w:hAnsi="Times New Roman" w:cs="Times New Roman"/>
          <w:sz w:val="24"/>
          <w:szCs w:val="24"/>
        </w:rPr>
        <w:t>人民币名义有效汇率上月环比</w:t>
      </w:r>
      <w:r w:rsidR="00DF459B">
        <w:rPr>
          <w:rFonts w:ascii="Times New Roman" w:eastAsia="宋体" w:hAnsi="Times New Roman" w:cs="Times New Roman" w:hint="eastAsia"/>
          <w:sz w:val="24"/>
          <w:szCs w:val="24"/>
        </w:rPr>
        <w:t>升值</w:t>
      </w:r>
      <w:r w:rsidR="00DF459B">
        <w:rPr>
          <w:rFonts w:ascii="Times New Roman" w:eastAsia="宋体" w:hAnsi="Times New Roman" w:cs="Times New Roman" w:hint="eastAsia"/>
          <w:sz w:val="24"/>
          <w:szCs w:val="24"/>
        </w:rPr>
        <w:t>0.24</w:t>
      </w:r>
      <w:r>
        <w:rPr>
          <w:rFonts w:ascii="Times New Roman" w:eastAsia="宋体" w:hAnsi="Times New Roman" w:cs="Times New Roman"/>
          <w:sz w:val="24"/>
          <w:szCs w:val="24"/>
        </w:rPr>
        <w:t>%</w:t>
      </w:r>
      <w:r>
        <w:rPr>
          <w:rFonts w:ascii="Times New Roman" w:eastAsia="宋体" w:hAnsi="Times New Roman" w:cs="Times New Roman"/>
          <w:sz w:val="24"/>
          <w:szCs w:val="24"/>
        </w:rPr>
        <w:t>，上年同比贬值</w:t>
      </w:r>
      <w:r w:rsidR="00DF459B">
        <w:rPr>
          <w:rFonts w:ascii="Times New Roman" w:eastAsia="宋体" w:hAnsi="Times New Roman" w:cs="Times New Roman" w:hint="eastAsia"/>
          <w:sz w:val="24"/>
          <w:szCs w:val="24"/>
        </w:rPr>
        <w:t>0.85</w:t>
      </w:r>
      <w:r>
        <w:rPr>
          <w:rFonts w:ascii="Times New Roman" w:eastAsia="宋体" w:hAnsi="Times New Roman" w:cs="Times New Roman"/>
          <w:sz w:val="24"/>
          <w:szCs w:val="24"/>
        </w:rPr>
        <w:t>%</w:t>
      </w:r>
      <w:r>
        <w:rPr>
          <w:rFonts w:ascii="Times New Roman" w:eastAsia="宋体" w:hAnsi="Times New Roman" w:cs="Times New Roman"/>
          <w:sz w:val="24"/>
          <w:szCs w:val="24"/>
        </w:rPr>
        <w:t>，增加值有效汇率</w:t>
      </w:r>
      <w:r>
        <w:rPr>
          <w:rFonts w:ascii="Times New Roman" w:eastAsia="宋体" w:hAnsi="Times New Roman" w:cs="Times New Roman" w:hint="eastAsia"/>
          <w:sz w:val="24"/>
          <w:szCs w:val="24"/>
        </w:rPr>
        <w:t>与</w:t>
      </w:r>
      <w:r>
        <w:rPr>
          <w:rFonts w:ascii="Times New Roman" w:eastAsia="宋体" w:hAnsi="Times New Roman" w:cs="Times New Roman"/>
          <w:sz w:val="24"/>
          <w:szCs w:val="24"/>
        </w:rPr>
        <w:t>BIS</w:t>
      </w:r>
      <w:r>
        <w:rPr>
          <w:rFonts w:ascii="Times New Roman" w:eastAsia="宋体" w:hAnsi="Times New Roman" w:cs="Times New Roman" w:hint="eastAsia"/>
          <w:sz w:val="24"/>
          <w:szCs w:val="24"/>
        </w:rPr>
        <w:t>有效汇率走势整体基本相当</w:t>
      </w:r>
      <w:r>
        <w:rPr>
          <w:rFonts w:ascii="Times New Roman" w:eastAsia="宋体" w:hAnsi="Times New Roman" w:cs="Times New Roman"/>
          <w:sz w:val="24"/>
          <w:szCs w:val="24"/>
        </w:rPr>
        <w:t>。</w:t>
      </w:r>
      <w:r>
        <w:rPr>
          <w:rFonts w:ascii="Times New Roman" w:eastAsia="宋体" w:hAnsi="Times New Roman" w:cs="Times New Roman" w:hint="eastAsia"/>
          <w:sz w:val="24"/>
          <w:szCs w:val="24"/>
        </w:rPr>
        <w:t>其他代表性传统汇率走势如下：</w:t>
      </w:r>
      <w:r>
        <w:rPr>
          <w:rFonts w:ascii="Times New Roman" w:eastAsia="宋体" w:hAnsi="Times New Roman" w:cs="Times New Roman"/>
          <w:sz w:val="24"/>
          <w:szCs w:val="24"/>
        </w:rPr>
        <w:t>BIS</w:t>
      </w:r>
      <w:r>
        <w:rPr>
          <w:rFonts w:ascii="Times New Roman" w:eastAsia="宋体" w:hAnsi="Times New Roman" w:cs="Times New Roman"/>
          <w:sz w:val="24"/>
          <w:szCs w:val="24"/>
        </w:rPr>
        <w:t>人民币实际有效汇率上月环比</w:t>
      </w:r>
      <w:r>
        <w:rPr>
          <w:rFonts w:ascii="Times New Roman" w:eastAsia="宋体" w:hAnsi="Times New Roman" w:cs="Times New Roman" w:hint="eastAsia"/>
          <w:sz w:val="24"/>
          <w:szCs w:val="24"/>
        </w:rPr>
        <w:t>升值</w:t>
      </w:r>
      <w:r>
        <w:rPr>
          <w:rFonts w:ascii="Times New Roman" w:eastAsia="宋体" w:hAnsi="Times New Roman" w:cs="Times New Roman" w:hint="eastAsia"/>
          <w:sz w:val="24"/>
          <w:szCs w:val="24"/>
        </w:rPr>
        <w:t>0.64</w:t>
      </w:r>
      <w:r>
        <w:rPr>
          <w:rFonts w:ascii="Times New Roman" w:eastAsia="宋体" w:hAnsi="Times New Roman" w:cs="Times New Roman"/>
          <w:sz w:val="24"/>
          <w:szCs w:val="24"/>
        </w:rPr>
        <w:t>%</w:t>
      </w:r>
      <w:r>
        <w:rPr>
          <w:rFonts w:ascii="Times New Roman" w:eastAsia="宋体" w:hAnsi="Times New Roman" w:cs="Times New Roman"/>
          <w:sz w:val="24"/>
          <w:szCs w:val="24"/>
        </w:rPr>
        <w:t>，上年同比</w:t>
      </w:r>
      <w:r>
        <w:rPr>
          <w:rFonts w:ascii="Times New Roman" w:eastAsia="宋体" w:hAnsi="Times New Roman" w:cs="Times New Roman" w:hint="eastAsia"/>
          <w:sz w:val="24"/>
          <w:szCs w:val="24"/>
        </w:rPr>
        <w:t>升值</w:t>
      </w:r>
      <w:r>
        <w:rPr>
          <w:rFonts w:ascii="Times New Roman" w:eastAsia="宋体" w:hAnsi="Times New Roman" w:cs="Times New Roman" w:hint="eastAsia"/>
          <w:sz w:val="24"/>
          <w:szCs w:val="24"/>
        </w:rPr>
        <w:t>0.2</w:t>
      </w:r>
      <w:r w:rsidR="00DF459B">
        <w:rPr>
          <w:rFonts w:ascii="Times New Roman" w:eastAsia="宋体" w:hAnsi="Times New Roman" w:cs="Times New Roman" w:hint="eastAsia"/>
          <w:sz w:val="24"/>
          <w:szCs w:val="24"/>
        </w:rPr>
        <w:t>3</w:t>
      </w:r>
      <w:r>
        <w:rPr>
          <w:rFonts w:ascii="Times New Roman" w:eastAsia="宋体" w:hAnsi="Times New Roman" w:cs="Times New Roman"/>
          <w:sz w:val="24"/>
          <w:szCs w:val="24"/>
        </w:rPr>
        <w:t>%</w:t>
      </w:r>
      <w:r>
        <w:rPr>
          <w:rFonts w:ascii="Times New Roman" w:eastAsia="宋体" w:hAnsi="Times New Roman" w:cs="Times New Roman"/>
          <w:sz w:val="24"/>
          <w:szCs w:val="24"/>
        </w:rPr>
        <w:t>；基于</w:t>
      </w:r>
      <w:r>
        <w:rPr>
          <w:rFonts w:ascii="Times New Roman" w:eastAsia="宋体" w:hAnsi="Times New Roman" w:cs="Times New Roman"/>
          <w:sz w:val="24"/>
          <w:szCs w:val="24"/>
        </w:rPr>
        <w:t xml:space="preserve">CFETS </w:t>
      </w:r>
      <w:r>
        <w:rPr>
          <w:rFonts w:ascii="Times New Roman" w:eastAsia="宋体" w:hAnsi="Times New Roman" w:cs="Times New Roman"/>
          <w:sz w:val="24"/>
          <w:szCs w:val="24"/>
        </w:rPr>
        <w:t>货币篮子人民币汇率指数上月环比</w:t>
      </w:r>
      <w:r w:rsidR="00DF459B">
        <w:rPr>
          <w:rFonts w:ascii="Times New Roman" w:eastAsia="宋体" w:hAnsi="Times New Roman" w:cs="Times New Roman" w:hint="eastAsia"/>
          <w:sz w:val="24"/>
          <w:szCs w:val="24"/>
        </w:rPr>
        <w:t>升值</w:t>
      </w:r>
      <w:r w:rsidR="00DF459B">
        <w:rPr>
          <w:rFonts w:ascii="Times New Roman" w:eastAsia="宋体" w:hAnsi="Times New Roman" w:cs="Times New Roman" w:hint="eastAsia"/>
          <w:sz w:val="24"/>
          <w:szCs w:val="24"/>
        </w:rPr>
        <w:t>0.81</w:t>
      </w:r>
      <w:r>
        <w:rPr>
          <w:rFonts w:ascii="Times New Roman" w:eastAsia="宋体" w:hAnsi="Times New Roman" w:cs="Times New Roman"/>
          <w:sz w:val="24"/>
          <w:szCs w:val="24"/>
        </w:rPr>
        <w:t>%</w:t>
      </w:r>
      <w:r>
        <w:rPr>
          <w:rFonts w:ascii="Times New Roman" w:eastAsia="宋体" w:hAnsi="Times New Roman" w:cs="Times New Roman"/>
          <w:sz w:val="24"/>
          <w:szCs w:val="24"/>
        </w:rPr>
        <w:t>，上年同比</w:t>
      </w:r>
      <w:r w:rsidR="00DF459B">
        <w:rPr>
          <w:rFonts w:ascii="Times New Roman" w:eastAsia="宋体" w:hAnsi="Times New Roman" w:cs="Times New Roman" w:hint="eastAsia"/>
          <w:sz w:val="24"/>
          <w:szCs w:val="24"/>
        </w:rPr>
        <w:t>升值</w:t>
      </w:r>
      <w:r w:rsidR="00DF459B">
        <w:rPr>
          <w:rFonts w:ascii="Times New Roman" w:eastAsia="宋体" w:hAnsi="Times New Roman" w:cs="Times New Roman" w:hint="eastAsia"/>
          <w:sz w:val="24"/>
          <w:szCs w:val="24"/>
        </w:rPr>
        <w:t>1.09</w:t>
      </w:r>
      <w:r>
        <w:rPr>
          <w:rFonts w:ascii="Times New Roman" w:eastAsia="宋体" w:hAnsi="Times New Roman" w:cs="Times New Roman"/>
          <w:sz w:val="24"/>
          <w:szCs w:val="24"/>
        </w:rPr>
        <w:t>%</w:t>
      </w:r>
      <w:r>
        <w:rPr>
          <w:rFonts w:ascii="Times New Roman" w:eastAsia="宋体" w:hAnsi="Times New Roman" w:cs="Times New Roman"/>
          <w:sz w:val="24"/>
          <w:szCs w:val="24"/>
        </w:rPr>
        <w:t>；基于</w:t>
      </w:r>
      <w:r>
        <w:rPr>
          <w:rFonts w:ascii="Times New Roman" w:eastAsia="宋体" w:hAnsi="Times New Roman" w:cs="Times New Roman"/>
          <w:sz w:val="24"/>
          <w:szCs w:val="24"/>
        </w:rPr>
        <w:t>SDR</w:t>
      </w:r>
      <w:r>
        <w:rPr>
          <w:rFonts w:ascii="Times New Roman" w:eastAsia="宋体" w:hAnsi="Times New Roman" w:cs="Times New Roman"/>
          <w:sz w:val="24"/>
          <w:szCs w:val="24"/>
        </w:rPr>
        <w:t>货币篮子人民币指数上月环比</w:t>
      </w:r>
      <w:r w:rsidR="00DF459B">
        <w:rPr>
          <w:rFonts w:ascii="Times New Roman" w:eastAsia="宋体" w:hAnsi="Times New Roman" w:cs="Times New Roman" w:hint="eastAsia"/>
          <w:sz w:val="24"/>
          <w:szCs w:val="24"/>
        </w:rPr>
        <w:t>升值</w:t>
      </w:r>
      <w:r w:rsidR="00DF459B">
        <w:rPr>
          <w:rFonts w:ascii="Times New Roman" w:eastAsia="宋体" w:hAnsi="Times New Roman" w:cs="Times New Roman" w:hint="eastAsia"/>
          <w:sz w:val="24"/>
          <w:szCs w:val="24"/>
        </w:rPr>
        <w:t>0.97</w:t>
      </w:r>
      <w:r>
        <w:rPr>
          <w:rFonts w:ascii="Times New Roman" w:eastAsia="宋体" w:hAnsi="Times New Roman" w:cs="Times New Roman"/>
          <w:sz w:val="24"/>
          <w:szCs w:val="24"/>
        </w:rPr>
        <w:t>%</w:t>
      </w:r>
      <w:r>
        <w:rPr>
          <w:rFonts w:ascii="Times New Roman" w:eastAsia="宋体" w:hAnsi="Times New Roman" w:cs="Times New Roman"/>
          <w:sz w:val="24"/>
          <w:szCs w:val="24"/>
        </w:rPr>
        <w:t>，上年同比</w:t>
      </w:r>
      <w:r w:rsidR="00DF459B">
        <w:rPr>
          <w:rFonts w:ascii="Times New Roman" w:eastAsia="宋体" w:hAnsi="Times New Roman" w:cs="Times New Roman" w:hint="eastAsia"/>
          <w:sz w:val="24"/>
          <w:szCs w:val="24"/>
        </w:rPr>
        <w:t>升值</w:t>
      </w:r>
      <w:r w:rsidR="00DF459B">
        <w:rPr>
          <w:rFonts w:ascii="Times New Roman" w:eastAsia="宋体" w:hAnsi="Times New Roman" w:cs="Times New Roman" w:hint="eastAsia"/>
          <w:sz w:val="24"/>
          <w:szCs w:val="24"/>
        </w:rPr>
        <w:t>1.19</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基于增加值人民币有效汇率</w:t>
      </w:r>
      <w:r w:rsidR="00DF459B">
        <w:rPr>
          <w:rFonts w:ascii="Times New Roman" w:eastAsia="宋体" w:hAnsi="Times New Roman" w:cs="Times New Roman" w:hint="eastAsia"/>
          <w:sz w:val="24"/>
          <w:szCs w:val="24"/>
        </w:rPr>
        <w:t>环比升值</w:t>
      </w:r>
      <w:r>
        <w:rPr>
          <w:rFonts w:ascii="Times New Roman" w:eastAsia="宋体" w:hAnsi="Times New Roman" w:cs="Times New Roman" w:hint="eastAsia"/>
          <w:sz w:val="24"/>
          <w:szCs w:val="24"/>
        </w:rPr>
        <w:t>幅度略</w:t>
      </w:r>
      <w:r w:rsidR="00DF459B">
        <w:rPr>
          <w:rFonts w:ascii="Times New Roman" w:eastAsia="宋体" w:hAnsi="Times New Roman" w:cs="Times New Roman" w:hint="eastAsia"/>
          <w:sz w:val="24"/>
          <w:szCs w:val="24"/>
        </w:rPr>
        <w:t>低</w:t>
      </w:r>
      <w:r>
        <w:rPr>
          <w:rFonts w:ascii="Times New Roman" w:eastAsia="宋体" w:hAnsi="Times New Roman" w:cs="Times New Roman" w:hint="eastAsia"/>
          <w:sz w:val="24"/>
          <w:szCs w:val="24"/>
        </w:rPr>
        <w:t>于主要篮子货币</w:t>
      </w:r>
      <w:r w:rsidR="00DF459B">
        <w:rPr>
          <w:rFonts w:ascii="Times New Roman" w:eastAsia="宋体" w:hAnsi="Times New Roman" w:cs="Times New Roman" w:hint="eastAsia"/>
          <w:sz w:val="24"/>
          <w:szCs w:val="24"/>
        </w:rPr>
        <w:t>，同比升贬值态势与主要篮子货币相反。</w:t>
      </w:r>
    </w:p>
    <w:p w:rsidR="004517A9" w:rsidRDefault="00173D2C">
      <w:pPr>
        <w:spacing w:line="360" w:lineRule="auto"/>
        <w:ind w:firstLine="42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hint="eastAsia"/>
          <w:b/>
          <w:sz w:val="24"/>
          <w:szCs w:val="24"/>
        </w:rPr>
        <w:t>分解来看，可贸易品和不可贸易品基于增加值人民币有效汇率也均贬值。</w:t>
      </w:r>
      <w:r>
        <w:rPr>
          <w:rFonts w:ascii="Times New Roman" w:eastAsia="宋体" w:hAnsi="Times New Roman" w:cs="Times New Roman"/>
          <w:sz w:val="24"/>
          <w:szCs w:val="24"/>
        </w:rPr>
        <w:t>可贸易品有效汇率上月</w:t>
      </w:r>
      <w:r w:rsidR="00DF459B">
        <w:rPr>
          <w:rFonts w:ascii="Times New Roman" w:eastAsia="宋体" w:hAnsi="Times New Roman" w:cs="Times New Roman" w:hint="eastAsia"/>
          <w:sz w:val="24"/>
          <w:szCs w:val="24"/>
        </w:rPr>
        <w:t>升值</w:t>
      </w:r>
      <w:r w:rsidR="00DF459B">
        <w:rPr>
          <w:rFonts w:ascii="Times New Roman" w:eastAsia="宋体" w:hAnsi="Times New Roman" w:cs="Times New Roman" w:hint="eastAsia"/>
          <w:sz w:val="24"/>
          <w:szCs w:val="24"/>
        </w:rPr>
        <w:t>0.37</w:t>
      </w:r>
      <w:r>
        <w:rPr>
          <w:rFonts w:ascii="Times New Roman" w:eastAsia="宋体" w:hAnsi="Times New Roman" w:cs="Times New Roman"/>
          <w:sz w:val="24"/>
          <w:szCs w:val="24"/>
        </w:rPr>
        <w:t>%</w:t>
      </w:r>
      <w:r>
        <w:rPr>
          <w:rFonts w:ascii="Times New Roman" w:eastAsia="宋体" w:hAnsi="Times New Roman" w:cs="Times New Roman"/>
          <w:sz w:val="24"/>
          <w:szCs w:val="24"/>
        </w:rPr>
        <w:t>，上年同比贬值</w:t>
      </w:r>
      <w:r w:rsidR="00DF459B">
        <w:rPr>
          <w:rFonts w:ascii="Times New Roman" w:eastAsia="宋体" w:hAnsi="Times New Roman" w:cs="Times New Roman" w:hint="eastAsia"/>
          <w:sz w:val="24"/>
          <w:szCs w:val="24"/>
        </w:rPr>
        <w:t>0.71</w:t>
      </w:r>
      <w:r>
        <w:rPr>
          <w:rFonts w:ascii="Times New Roman" w:eastAsia="宋体" w:hAnsi="Times New Roman" w:cs="Times New Roman"/>
          <w:sz w:val="24"/>
          <w:szCs w:val="24"/>
        </w:rPr>
        <w:t>%</w:t>
      </w:r>
      <w:r>
        <w:rPr>
          <w:rFonts w:ascii="Times New Roman" w:eastAsia="宋体" w:hAnsi="Times New Roman" w:cs="Times New Roman"/>
          <w:sz w:val="24"/>
          <w:szCs w:val="24"/>
        </w:rPr>
        <w:t>；不可贸易品有效汇率上月</w:t>
      </w:r>
      <w:r w:rsidR="00DF459B">
        <w:rPr>
          <w:rFonts w:ascii="Times New Roman" w:eastAsia="宋体" w:hAnsi="Times New Roman" w:cs="Times New Roman" w:hint="eastAsia"/>
          <w:sz w:val="24"/>
          <w:szCs w:val="24"/>
        </w:rPr>
        <w:t>升值</w:t>
      </w:r>
      <w:r w:rsidR="00DF459B">
        <w:rPr>
          <w:rFonts w:ascii="Times New Roman" w:eastAsia="宋体" w:hAnsi="Times New Roman" w:cs="Times New Roman" w:hint="eastAsia"/>
          <w:sz w:val="24"/>
          <w:szCs w:val="24"/>
        </w:rPr>
        <w:t>0.37</w:t>
      </w:r>
      <w:r>
        <w:rPr>
          <w:rFonts w:ascii="Times New Roman" w:eastAsia="宋体" w:hAnsi="Times New Roman" w:cs="Times New Roman"/>
          <w:sz w:val="24"/>
          <w:szCs w:val="24"/>
        </w:rPr>
        <w:t>%</w:t>
      </w:r>
      <w:r>
        <w:rPr>
          <w:rFonts w:ascii="Times New Roman" w:eastAsia="宋体" w:hAnsi="Times New Roman" w:cs="Times New Roman"/>
          <w:sz w:val="24"/>
          <w:szCs w:val="24"/>
        </w:rPr>
        <w:t>，上年同比贬值</w:t>
      </w:r>
      <w:r w:rsidR="00DF459B">
        <w:rPr>
          <w:rFonts w:ascii="Times New Roman" w:eastAsia="宋体" w:hAnsi="Times New Roman" w:cs="Times New Roman" w:hint="eastAsia"/>
          <w:sz w:val="24"/>
          <w:szCs w:val="24"/>
        </w:rPr>
        <w:t>0.53</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两者与加总情形基本下汇率变动基本一致。</w:t>
      </w:r>
    </w:p>
    <w:p w:rsidR="004517A9" w:rsidRDefault="00173D2C">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 </w:t>
      </w:r>
      <w:r>
        <w:rPr>
          <w:rFonts w:ascii="Times New Roman" w:eastAsia="宋体" w:hAnsi="Times New Roman" w:cs="Times New Roman" w:hint="eastAsia"/>
          <w:b/>
          <w:sz w:val="24"/>
          <w:szCs w:val="24"/>
        </w:rPr>
        <w:t>分行业来看，所有行业出现贬值。</w:t>
      </w:r>
      <w:r w:rsidR="0013466D" w:rsidRPr="0013466D">
        <w:rPr>
          <w:rFonts w:ascii="Times New Roman" w:eastAsia="宋体" w:hAnsi="Times New Roman" w:cs="Times New Roman" w:hint="eastAsia"/>
          <w:sz w:val="24"/>
          <w:szCs w:val="24"/>
        </w:rPr>
        <w:t>7</w:t>
      </w:r>
      <w:r w:rsidR="0013466D" w:rsidRPr="0013466D">
        <w:rPr>
          <w:rFonts w:ascii="Times New Roman" w:eastAsia="宋体" w:hAnsi="Times New Roman" w:cs="Times New Roman" w:hint="eastAsia"/>
          <w:sz w:val="24"/>
          <w:szCs w:val="24"/>
        </w:rPr>
        <w:t>月</w:t>
      </w:r>
      <w:r w:rsidR="00DF459B">
        <w:rPr>
          <w:rFonts w:ascii="Times New Roman" w:eastAsia="宋体" w:hAnsi="Times New Roman" w:cs="Times New Roman" w:hint="eastAsia"/>
          <w:sz w:val="24"/>
          <w:szCs w:val="24"/>
        </w:rPr>
        <w:t>多数</w:t>
      </w:r>
      <w:r w:rsidR="00DF459B">
        <w:rPr>
          <w:rFonts w:ascii="Times New Roman" w:eastAsia="宋体" w:hAnsi="Times New Roman" w:cs="Times New Roman"/>
          <w:sz w:val="24"/>
          <w:szCs w:val="24"/>
        </w:rPr>
        <w:t>行业</w:t>
      </w:r>
      <w:r>
        <w:rPr>
          <w:rFonts w:ascii="Times New Roman" w:eastAsia="宋体" w:hAnsi="Times New Roman" w:cs="Times New Roman"/>
          <w:sz w:val="24"/>
          <w:szCs w:val="24"/>
        </w:rPr>
        <w:t>基于增加值人民币有效汇率</w:t>
      </w:r>
      <w:r>
        <w:rPr>
          <w:rFonts w:ascii="Times New Roman" w:eastAsia="宋体" w:hAnsi="Times New Roman" w:cs="Times New Roman" w:hint="eastAsia"/>
          <w:sz w:val="24"/>
          <w:szCs w:val="24"/>
        </w:rPr>
        <w:t>上月</w:t>
      </w:r>
      <w:r>
        <w:rPr>
          <w:rFonts w:ascii="Times New Roman" w:eastAsia="宋体" w:hAnsi="Times New Roman" w:cs="Times New Roman"/>
          <w:sz w:val="24"/>
          <w:szCs w:val="24"/>
        </w:rPr>
        <w:t>环比</w:t>
      </w:r>
      <w:r w:rsidR="00DF459B">
        <w:rPr>
          <w:rFonts w:ascii="Times New Roman" w:eastAsia="宋体" w:hAnsi="Times New Roman" w:cs="Times New Roman" w:hint="eastAsia"/>
          <w:sz w:val="24"/>
          <w:szCs w:val="24"/>
        </w:rPr>
        <w:t>升值</w:t>
      </w:r>
      <w:r>
        <w:rPr>
          <w:rFonts w:ascii="Times New Roman" w:eastAsia="宋体" w:hAnsi="Times New Roman" w:cs="Times New Roman"/>
          <w:sz w:val="24"/>
          <w:szCs w:val="24"/>
        </w:rPr>
        <w:t>和</w:t>
      </w:r>
      <w:r>
        <w:rPr>
          <w:rFonts w:ascii="Times New Roman" w:eastAsia="宋体" w:hAnsi="Times New Roman" w:cs="Times New Roman" w:hint="eastAsia"/>
          <w:sz w:val="24"/>
          <w:szCs w:val="24"/>
        </w:rPr>
        <w:t>上年</w:t>
      </w:r>
      <w:r>
        <w:rPr>
          <w:rFonts w:ascii="Times New Roman" w:eastAsia="宋体" w:hAnsi="Times New Roman" w:cs="Times New Roman"/>
          <w:sz w:val="24"/>
          <w:szCs w:val="24"/>
        </w:rPr>
        <w:t>同比贬值态势</w:t>
      </w:r>
      <w:r w:rsidR="00DF459B">
        <w:rPr>
          <w:rFonts w:ascii="Times New Roman" w:eastAsia="宋体" w:hAnsi="Times New Roman" w:cs="Times New Roman" w:hint="eastAsia"/>
          <w:sz w:val="24"/>
          <w:szCs w:val="24"/>
        </w:rPr>
        <w:t>与</w:t>
      </w:r>
      <w:r w:rsidR="00DF459B">
        <w:rPr>
          <w:rFonts w:ascii="Times New Roman" w:eastAsia="宋体" w:hAnsi="Times New Roman" w:cs="Times New Roman" w:hint="eastAsia"/>
          <w:sz w:val="24"/>
          <w:szCs w:val="24"/>
        </w:rPr>
        <w:t>BIS</w:t>
      </w:r>
      <w:r w:rsidR="00DF459B">
        <w:rPr>
          <w:rFonts w:ascii="Times New Roman" w:eastAsia="宋体" w:hAnsi="Times New Roman" w:cs="Times New Roman" w:hint="eastAsia"/>
          <w:sz w:val="24"/>
          <w:szCs w:val="24"/>
        </w:rPr>
        <w:t>有效汇率一致</w:t>
      </w:r>
      <w:r>
        <w:rPr>
          <w:rFonts w:ascii="Times New Roman" w:eastAsia="宋体" w:hAnsi="Times New Roman" w:cs="Times New Roman" w:hint="eastAsia"/>
          <w:sz w:val="24"/>
          <w:szCs w:val="24"/>
        </w:rPr>
        <w:t>（表</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和表</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Pr>
          <w:rFonts w:ascii="Times New Roman" w:eastAsia="宋体" w:hAnsi="Times New Roman" w:cs="Times New Roman"/>
          <w:sz w:val="24"/>
          <w:szCs w:val="24"/>
        </w:rPr>
        <w:t>，贬值幅度</w:t>
      </w:r>
      <w:r>
        <w:rPr>
          <w:rFonts w:ascii="Times New Roman" w:eastAsia="宋体" w:hAnsi="Times New Roman" w:cs="Times New Roman" w:hint="eastAsia"/>
          <w:sz w:val="24"/>
          <w:szCs w:val="24"/>
        </w:rPr>
        <w:t>差异也不是很大</w:t>
      </w:r>
      <w:r>
        <w:rPr>
          <w:rFonts w:ascii="Times New Roman" w:eastAsia="宋体" w:hAnsi="Times New Roman" w:cs="Times New Roman"/>
          <w:sz w:val="24"/>
          <w:szCs w:val="24"/>
        </w:rPr>
        <w:t>，环比最大差异为</w:t>
      </w:r>
      <w:r>
        <w:rPr>
          <w:rFonts w:ascii="Times New Roman" w:eastAsia="宋体" w:hAnsi="Times New Roman" w:cs="Times New Roman"/>
          <w:sz w:val="24"/>
          <w:szCs w:val="24"/>
        </w:rPr>
        <w:t>0.</w:t>
      </w:r>
      <w:r w:rsidR="00DF459B">
        <w:rPr>
          <w:rFonts w:ascii="Times New Roman" w:eastAsia="宋体" w:hAnsi="Times New Roman" w:cs="Times New Roman" w:hint="eastAsia"/>
          <w:sz w:val="24"/>
          <w:szCs w:val="24"/>
        </w:rPr>
        <w:t>98</w:t>
      </w:r>
      <w:r>
        <w:rPr>
          <w:rFonts w:ascii="Times New Roman" w:eastAsia="宋体" w:hAnsi="Times New Roman" w:cs="Times New Roman"/>
          <w:sz w:val="24"/>
          <w:szCs w:val="24"/>
        </w:rPr>
        <w:t>个百分点，同比最大差异为</w:t>
      </w:r>
      <w:r>
        <w:rPr>
          <w:rFonts w:ascii="Times New Roman" w:eastAsia="宋体" w:hAnsi="Times New Roman" w:cs="Times New Roman" w:hint="eastAsia"/>
          <w:sz w:val="24"/>
          <w:szCs w:val="24"/>
        </w:rPr>
        <w:t>2.</w:t>
      </w:r>
      <w:r w:rsidR="00DF459B">
        <w:rPr>
          <w:rFonts w:ascii="Times New Roman" w:eastAsia="宋体" w:hAnsi="Times New Roman" w:cs="Times New Roman" w:hint="eastAsia"/>
          <w:sz w:val="24"/>
          <w:szCs w:val="24"/>
        </w:rPr>
        <w:t>75</w:t>
      </w:r>
      <w:r>
        <w:rPr>
          <w:rFonts w:ascii="Times New Roman" w:eastAsia="宋体" w:hAnsi="Times New Roman" w:cs="Times New Roman"/>
          <w:sz w:val="24"/>
          <w:szCs w:val="24"/>
        </w:rPr>
        <w:t>个百分点。环比</w:t>
      </w:r>
      <w:r w:rsidR="00DF459B">
        <w:rPr>
          <w:rFonts w:ascii="Times New Roman" w:eastAsia="宋体" w:hAnsi="Times New Roman" w:cs="Times New Roman" w:hint="eastAsia"/>
          <w:sz w:val="24"/>
          <w:szCs w:val="24"/>
        </w:rPr>
        <w:t>升值</w:t>
      </w:r>
      <w:r>
        <w:rPr>
          <w:rFonts w:ascii="Times New Roman" w:eastAsia="宋体" w:hAnsi="Times New Roman" w:cs="Times New Roman"/>
          <w:sz w:val="24"/>
          <w:szCs w:val="24"/>
        </w:rPr>
        <w:t>幅度最高的三个行业为</w:t>
      </w:r>
      <w:r>
        <w:rPr>
          <w:rFonts w:ascii="Times New Roman" w:eastAsia="宋体" w:hAnsi="Times New Roman" w:cs="Times New Roman"/>
          <w:sz w:val="24"/>
          <w:szCs w:val="24"/>
        </w:rPr>
        <w:t>“</w:t>
      </w:r>
      <w:r w:rsidR="00666767">
        <w:rPr>
          <w:rFonts w:ascii="Times New Roman" w:eastAsia="宋体" w:hAnsi="Times New Roman" w:cs="Times New Roman" w:hint="eastAsia"/>
          <w:sz w:val="24"/>
          <w:szCs w:val="24"/>
        </w:rPr>
        <w:t>建筑业</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sidR="00DF459B" w:rsidRPr="00DF459B">
        <w:rPr>
          <w:rFonts w:ascii="Times New Roman" w:eastAsia="宋体" w:hAnsi="Times New Roman" w:cs="Times New Roman" w:hint="eastAsia"/>
          <w:sz w:val="24"/>
          <w:szCs w:val="24"/>
        </w:rPr>
        <w:t>设备制造业</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sidR="00DF459B" w:rsidRPr="00DF459B">
        <w:rPr>
          <w:rFonts w:ascii="Times New Roman" w:eastAsia="宋体" w:hAnsi="Times New Roman" w:cs="Times New Roman" w:hint="eastAsia"/>
          <w:sz w:val="24"/>
          <w:szCs w:val="24"/>
        </w:rPr>
        <w:t>租赁和商务服务业</w:t>
      </w:r>
      <w:r>
        <w:rPr>
          <w:rFonts w:ascii="Times New Roman" w:eastAsia="宋体" w:hAnsi="Times New Roman" w:cs="Times New Roman"/>
          <w:sz w:val="24"/>
          <w:szCs w:val="24"/>
        </w:rPr>
        <w:t>”</w:t>
      </w:r>
      <w:r>
        <w:rPr>
          <w:rFonts w:ascii="Times New Roman" w:eastAsia="宋体" w:hAnsi="Times New Roman" w:cs="Times New Roman"/>
          <w:sz w:val="24"/>
          <w:szCs w:val="24"/>
        </w:rPr>
        <w:t>，环比</w:t>
      </w:r>
      <w:r w:rsidR="00DF459B">
        <w:rPr>
          <w:rFonts w:ascii="Times New Roman" w:eastAsia="宋体" w:hAnsi="Times New Roman" w:cs="Times New Roman" w:hint="eastAsia"/>
          <w:sz w:val="24"/>
          <w:szCs w:val="24"/>
        </w:rPr>
        <w:t>升值</w:t>
      </w:r>
      <w:r>
        <w:rPr>
          <w:rFonts w:ascii="Times New Roman" w:eastAsia="宋体" w:hAnsi="Times New Roman" w:cs="Times New Roman"/>
          <w:sz w:val="24"/>
          <w:szCs w:val="24"/>
        </w:rPr>
        <w:t>幅度最低的三个行业为</w:t>
      </w:r>
      <w:r>
        <w:rPr>
          <w:rFonts w:ascii="Times New Roman" w:eastAsia="宋体" w:hAnsi="Times New Roman" w:cs="Times New Roman"/>
          <w:sz w:val="24"/>
          <w:szCs w:val="24"/>
        </w:rPr>
        <w:t>“</w:t>
      </w:r>
      <w:r w:rsidR="00DF459B" w:rsidRPr="00DF459B">
        <w:rPr>
          <w:rFonts w:ascii="Times New Roman" w:eastAsia="宋体" w:hAnsi="Times New Roman" w:cs="Times New Roman" w:hint="eastAsia"/>
          <w:sz w:val="24"/>
          <w:szCs w:val="24"/>
        </w:rPr>
        <w:t>采矿和采石业</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sidR="00DF459B" w:rsidRPr="00DF459B">
        <w:rPr>
          <w:rFonts w:ascii="Times New Roman" w:eastAsia="宋体" w:hAnsi="Times New Roman" w:cs="Times New Roman" w:hint="eastAsia"/>
          <w:sz w:val="24"/>
          <w:szCs w:val="24"/>
        </w:rPr>
        <w:t>农林牧渔业</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sidR="00DF459B" w:rsidRPr="00DF459B">
        <w:rPr>
          <w:rFonts w:ascii="Times New Roman" w:eastAsia="宋体" w:hAnsi="Times New Roman" w:cs="Times New Roman" w:hint="eastAsia"/>
          <w:sz w:val="24"/>
          <w:szCs w:val="24"/>
        </w:rPr>
        <w:t>石油加工、炼焦及核燃料加工业</w:t>
      </w:r>
      <w:r>
        <w:rPr>
          <w:rFonts w:ascii="Times New Roman" w:eastAsia="宋体" w:hAnsi="Times New Roman" w:cs="Times New Roman"/>
          <w:sz w:val="24"/>
          <w:szCs w:val="24"/>
        </w:rPr>
        <w:t>”</w:t>
      </w:r>
      <w:r>
        <w:rPr>
          <w:rFonts w:ascii="Times New Roman" w:eastAsia="宋体" w:hAnsi="Times New Roman" w:cs="Times New Roman"/>
          <w:sz w:val="24"/>
          <w:szCs w:val="24"/>
        </w:rPr>
        <w:t>。同比贬值幅度最</w:t>
      </w:r>
      <w:r>
        <w:rPr>
          <w:rFonts w:ascii="Times New Roman" w:eastAsia="宋体" w:hAnsi="Times New Roman" w:cs="Times New Roman" w:hint="eastAsia"/>
          <w:sz w:val="24"/>
          <w:szCs w:val="24"/>
        </w:rPr>
        <w:t>高</w:t>
      </w:r>
      <w:r>
        <w:rPr>
          <w:rFonts w:ascii="Times New Roman" w:eastAsia="宋体" w:hAnsi="Times New Roman" w:cs="Times New Roman"/>
          <w:sz w:val="24"/>
          <w:szCs w:val="24"/>
        </w:rPr>
        <w:t>的三个行业为</w:t>
      </w:r>
      <w:r>
        <w:rPr>
          <w:rFonts w:ascii="Times New Roman" w:eastAsia="宋体" w:hAnsi="Times New Roman" w:cs="Times New Roman"/>
          <w:sz w:val="24"/>
          <w:szCs w:val="24"/>
        </w:rPr>
        <w:t>“</w:t>
      </w:r>
      <w:r>
        <w:rPr>
          <w:rFonts w:ascii="Times New Roman" w:eastAsia="宋体" w:hAnsi="Times New Roman" w:cs="Times New Roman"/>
          <w:sz w:val="24"/>
          <w:szCs w:val="24"/>
        </w:rPr>
        <w:t>石油加工、炼焦及核燃料加工业</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sidR="00DF459B" w:rsidRPr="00DF459B">
        <w:rPr>
          <w:rFonts w:ascii="Times New Roman" w:eastAsia="宋体" w:hAnsi="Times New Roman" w:cs="Times New Roman" w:hint="eastAsia"/>
          <w:sz w:val="24"/>
          <w:szCs w:val="24"/>
        </w:rPr>
        <w:t>食品、饮料和烟草业</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sidR="00DF459B" w:rsidRPr="00DF459B">
        <w:rPr>
          <w:rFonts w:ascii="Times New Roman" w:eastAsia="宋体" w:hAnsi="Times New Roman" w:cs="Times New Roman" w:hint="eastAsia"/>
          <w:sz w:val="24"/>
          <w:szCs w:val="24"/>
        </w:rPr>
        <w:t>公共管理和国防业；强制性社会保障</w:t>
      </w:r>
      <w:r>
        <w:rPr>
          <w:rFonts w:ascii="Times New Roman" w:eastAsia="宋体" w:hAnsi="Times New Roman" w:cs="Times New Roman"/>
          <w:sz w:val="24"/>
          <w:szCs w:val="24"/>
        </w:rPr>
        <w:t>”</w:t>
      </w:r>
      <w:r>
        <w:rPr>
          <w:rFonts w:ascii="Times New Roman" w:eastAsia="宋体" w:hAnsi="Times New Roman" w:cs="Times New Roman"/>
          <w:sz w:val="24"/>
          <w:szCs w:val="24"/>
        </w:rPr>
        <w:t>，同比贬值幅度最低的三个行业为</w:t>
      </w:r>
      <w:r w:rsidR="000E47D5">
        <w:rPr>
          <w:rFonts w:ascii="Times New Roman" w:eastAsia="宋体" w:hAnsi="Times New Roman" w:cs="Times New Roman"/>
          <w:sz w:val="24"/>
          <w:szCs w:val="24"/>
        </w:rPr>
        <w:t xml:space="preserve"> “</w:t>
      </w:r>
      <w:r w:rsidR="000E47D5">
        <w:rPr>
          <w:rFonts w:ascii="Times New Roman" w:eastAsia="宋体" w:hAnsi="Times New Roman" w:cs="Times New Roman"/>
          <w:sz w:val="24"/>
          <w:szCs w:val="24"/>
        </w:rPr>
        <w:t>纺织材料和纺织制品业</w:t>
      </w:r>
      <w:r w:rsidR="000E47D5">
        <w:rPr>
          <w:rFonts w:ascii="Times New Roman" w:eastAsia="宋体" w:hAnsi="Times New Roman" w:cs="Times New Roman"/>
          <w:sz w:val="24"/>
          <w:szCs w:val="24"/>
        </w:rPr>
        <w:t>”</w:t>
      </w:r>
      <w:r w:rsidR="000E47D5">
        <w:rPr>
          <w:rFonts w:ascii="Times New Roman" w:eastAsia="宋体" w:hAnsi="Times New Roman" w:cs="Times New Roman"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教育</w:t>
      </w:r>
      <w:r>
        <w:rPr>
          <w:rFonts w:ascii="Times New Roman" w:eastAsia="宋体" w:hAnsi="Times New Roman" w:cs="Times New Roman"/>
          <w:sz w:val="24"/>
          <w:szCs w:val="24"/>
        </w:rPr>
        <w:t>”</w:t>
      </w:r>
      <w:r w:rsidR="000E47D5">
        <w:rPr>
          <w:rFonts w:ascii="Times New Roman" w:eastAsia="宋体" w:hAnsi="Times New Roman" w:cs="Times New Roman" w:hint="eastAsia"/>
          <w:sz w:val="24"/>
          <w:szCs w:val="24"/>
        </w:rPr>
        <w:t>、</w:t>
      </w:r>
      <w:r w:rsidR="000E47D5">
        <w:rPr>
          <w:rFonts w:ascii="Times New Roman" w:eastAsia="宋体" w:hAnsi="Times New Roman" w:cs="Times New Roman"/>
          <w:sz w:val="24"/>
          <w:szCs w:val="24"/>
        </w:rPr>
        <w:t>“</w:t>
      </w:r>
      <w:r w:rsidR="000E47D5" w:rsidRPr="000E47D5">
        <w:rPr>
          <w:rFonts w:ascii="Times New Roman" w:eastAsia="宋体" w:hAnsi="Times New Roman" w:cs="Times New Roman" w:hint="eastAsia"/>
          <w:sz w:val="24"/>
          <w:szCs w:val="24"/>
        </w:rPr>
        <w:t>皮革</w:t>
      </w:r>
      <w:r w:rsidR="000E47D5" w:rsidRPr="000E47D5">
        <w:rPr>
          <w:rFonts w:ascii="Times New Roman" w:eastAsia="宋体" w:hAnsi="Times New Roman" w:cs="Times New Roman"/>
          <w:sz w:val="24"/>
          <w:szCs w:val="24"/>
        </w:rPr>
        <w:t>,</w:t>
      </w:r>
      <w:r w:rsidR="000E47D5" w:rsidRPr="000E47D5">
        <w:rPr>
          <w:rFonts w:ascii="Times New Roman" w:eastAsia="宋体" w:hAnsi="Times New Roman" w:cs="Times New Roman"/>
          <w:sz w:val="24"/>
          <w:szCs w:val="24"/>
        </w:rPr>
        <w:t>皮革制品和鞋业</w:t>
      </w:r>
      <w:r w:rsidR="000E47D5">
        <w:rPr>
          <w:rFonts w:ascii="Times New Roman" w:eastAsia="宋体" w:hAnsi="Times New Roman" w:cs="Times New Roman"/>
          <w:sz w:val="24"/>
          <w:szCs w:val="24"/>
        </w:rPr>
        <w:t>”</w:t>
      </w:r>
      <w:r>
        <w:rPr>
          <w:rFonts w:ascii="Times New Roman" w:eastAsia="宋体" w:hAnsi="Times New Roman" w:cs="Times New Roman"/>
          <w:sz w:val="24"/>
          <w:szCs w:val="24"/>
        </w:rPr>
        <w:t>。</w:t>
      </w:r>
    </w:p>
    <w:p w:rsidR="004517A9" w:rsidRDefault="004517A9">
      <w:pPr>
        <w:spacing w:line="360" w:lineRule="auto"/>
        <w:ind w:firstLine="420"/>
        <w:jc w:val="right"/>
        <w:rPr>
          <w:rFonts w:ascii="Times New Roman" w:eastAsia="宋体" w:hAnsi="Times New Roman" w:cs="Times New Roman"/>
          <w:sz w:val="24"/>
          <w:szCs w:val="24"/>
        </w:rPr>
      </w:pPr>
    </w:p>
    <w:p w:rsidR="004517A9" w:rsidRDefault="00173D2C">
      <w:pPr>
        <w:spacing w:line="360" w:lineRule="auto"/>
        <w:ind w:firstLine="420"/>
        <w:jc w:val="right"/>
        <w:rPr>
          <w:rFonts w:ascii="Times New Roman" w:eastAsia="宋体" w:hAnsi="Times New Roman" w:cs="Times New Roman"/>
          <w:sz w:val="24"/>
          <w:szCs w:val="24"/>
        </w:rPr>
      </w:pPr>
      <w:r>
        <w:rPr>
          <w:rFonts w:ascii="Times New Roman" w:eastAsia="宋体" w:hAnsi="Times New Roman" w:cs="Times New Roman" w:hint="eastAsia"/>
          <w:sz w:val="24"/>
          <w:szCs w:val="24"/>
        </w:rPr>
        <w:t>（完整版数据请访问：</w:t>
      </w:r>
      <w:hyperlink r:id="rId8" w:history="1">
        <w:r>
          <w:rPr>
            <w:rStyle w:val="a7"/>
            <w:rFonts w:ascii="Times New Roman" w:eastAsia="宋体" w:hAnsi="Times New Roman" w:cs="Times New Roman"/>
            <w:sz w:val="24"/>
            <w:szCs w:val="24"/>
          </w:rPr>
          <w:t>http://iwep.org.cn/iwepheer/</w:t>
        </w:r>
      </w:hyperlink>
      <w:r>
        <w:rPr>
          <w:rFonts w:ascii="Times New Roman" w:eastAsia="宋体" w:hAnsi="Times New Roman" w:cs="Times New Roman" w:hint="eastAsia"/>
          <w:sz w:val="24"/>
          <w:szCs w:val="24"/>
        </w:rPr>
        <w:t>）</w:t>
      </w:r>
    </w:p>
    <w:p w:rsidR="004517A9" w:rsidRDefault="00173D2C">
      <w:pPr>
        <w:pStyle w:val="a3"/>
        <w:keepNext/>
        <w:jc w:val="center"/>
        <w:rPr>
          <w:rFonts w:ascii="黑体" w:hAnsi="黑体" w:cs="Times New Roman"/>
        </w:rPr>
      </w:pPr>
      <w:r>
        <w:rPr>
          <w:rFonts w:ascii="黑体" w:hAnsi="黑体" w:cs="Times New Roman"/>
        </w:rPr>
        <w:lastRenderedPageBreak/>
        <w:t xml:space="preserve">图 </w:t>
      </w:r>
      <w:r w:rsidR="001C1298">
        <w:rPr>
          <w:rFonts w:ascii="黑体" w:hAnsi="黑体" w:cs="Times New Roman"/>
        </w:rPr>
        <w:fldChar w:fldCharType="begin"/>
      </w:r>
      <w:r>
        <w:rPr>
          <w:rFonts w:ascii="黑体" w:hAnsi="黑体" w:cs="Times New Roman"/>
        </w:rPr>
        <w:instrText xml:space="preserve"> SEQ 图 \* ARABIC </w:instrText>
      </w:r>
      <w:r w:rsidR="001C1298">
        <w:rPr>
          <w:rFonts w:ascii="黑体" w:hAnsi="黑体" w:cs="Times New Roman"/>
        </w:rPr>
        <w:fldChar w:fldCharType="separate"/>
      </w:r>
      <w:r>
        <w:rPr>
          <w:rFonts w:ascii="黑体" w:hAnsi="黑体" w:cs="Times New Roman"/>
        </w:rPr>
        <w:t>1</w:t>
      </w:r>
      <w:r w:rsidR="001C1298">
        <w:rPr>
          <w:rFonts w:ascii="黑体" w:hAnsi="黑体" w:cs="Times New Roman"/>
        </w:rPr>
        <w:fldChar w:fldCharType="end"/>
      </w:r>
      <w:r>
        <w:rPr>
          <w:rFonts w:ascii="黑体" w:hAnsi="黑体" w:cs="Times New Roman"/>
        </w:rPr>
        <w:t xml:space="preserve"> 加总的基于增加值人民币有效汇率与主要传统有效汇率指数走势比较</w:t>
      </w:r>
    </w:p>
    <w:p w:rsidR="004517A9" w:rsidRDefault="00891C84">
      <w:pPr>
        <w:spacing w:line="360" w:lineRule="auto"/>
        <w:ind w:firstLine="420"/>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extent cx="5274310" cy="3214199"/>
            <wp:effectExtent l="19050" t="0" r="2540" b="0"/>
            <wp:docPr id="2" name="图片 1" descr="C:\Users\Administrator\AppData\Local\Temp\15854564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Temp\1585456480(1).png"/>
                    <pic:cNvPicPr>
                      <a:picLocks noChangeAspect="1" noChangeArrowheads="1"/>
                    </pic:cNvPicPr>
                  </pic:nvPicPr>
                  <pic:blipFill>
                    <a:blip r:embed="rId9" cstate="print"/>
                    <a:srcRect/>
                    <a:stretch>
                      <a:fillRect/>
                    </a:stretch>
                  </pic:blipFill>
                  <pic:spPr bwMode="auto">
                    <a:xfrm>
                      <a:off x="0" y="0"/>
                      <a:ext cx="5274310" cy="3214199"/>
                    </a:xfrm>
                    <a:prstGeom prst="rect">
                      <a:avLst/>
                    </a:prstGeom>
                    <a:noFill/>
                    <a:ln w="9525">
                      <a:noFill/>
                      <a:miter lim="800000"/>
                      <a:headEnd/>
                      <a:tailEnd/>
                    </a:ln>
                  </pic:spPr>
                </pic:pic>
              </a:graphicData>
            </a:graphic>
          </wp:inline>
        </w:drawing>
      </w:r>
    </w:p>
    <w:p w:rsidR="004517A9" w:rsidRDefault="00173D2C">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说明：上升代表升值，下降代表贬值，增加值和</w:t>
      </w:r>
      <w:r>
        <w:rPr>
          <w:rFonts w:ascii="Times New Roman" w:eastAsia="宋体" w:hAnsi="Times New Roman" w:cs="Times New Roman"/>
          <w:sz w:val="18"/>
          <w:szCs w:val="18"/>
        </w:rPr>
        <w:t>BIS</w:t>
      </w:r>
      <w:r>
        <w:rPr>
          <w:rFonts w:ascii="Times New Roman" w:eastAsia="宋体" w:hAnsi="Times New Roman" w:cs="Times New Roman" w:hint="eastAsia"/>
          <w:sz w:val="18"/>
          <w:szCs w:val="18"/>
        </w:rPr>
        <w:t>有效汇率基期为</w:t>
      </w:r>
      <w:r>
        <w:rPr>
          <w:rFonts w:ascii="Times New Roman" w:eastAsia="宋体" w:hAnsi="Times New Roman" w:cs="Times New Roman"/>
          <w:sz w:val="18"/>
          <w:szCs w:val="18"/>
        </w:rPr>
        <w:t>2010</w:t>
      </w:r>
      <w:r>
        <w:rPr>
          <w:rFonts w:ascii="Times New Roman" w:eastAsia="宋体" w:hAnsi="Times New Roman" w:cs="Times New Roman" w:hint="eastAsia"/>
          <w:sz w:val="18"/>
          <w:szCs w:val="18"/>
        </w:rPr>
        <w:t>年，人民币汇率指数基期为</w:t>
      </w:r>
      <w:r>
        <w:rPr>
          <w:rFonts w:ascii="Times New Roman" w:eastAsia="宋体" w:hAnsi="Times New Roman" w:cs="Times New Roman"/>
          <w:sz w:val="18"/>
          <w:szCs w:val="18"/>
        </w:rPr>
        <w:t>2014</w:t>
      </w:r>
      <w:r>
        <w:rPr>
          <w:rFonts w:ascii="Times New Roman" w:eastAsia="宋体" w:hAnsi="Times New Roman" w:cs="Times New Roman" w:hint="eastAsia"/>
          <w:sz w:val="18"/>
          <w:szCs w:val="18"/>
        </w:rPr>
        <w:t>年。人民币汇率指数也公布基于</w:t>
      </w:r>
      <w:r>
        <w:rPr>
          <w:rFonts w:ascii="Times New Roman" w:eastAsia="宋体" w:hAnsi="Times New Roman" w:cs="Times New Roman" w:hint="eastAsia"/>
          <w:sz w:val="18"/>
          <w:szCs w:val="18"/>
        </w:rPr>
        <w:t>BIS</w:t>
      </w:r>
      <w:r>
        <w:rPr>
          <w:rFonts w:ascii="Times New Roman" w:eastAsia="宋体" w:hAnsi="Times New Roman" w:cs="Times New Roman" w:hint="eastAsia"/>
          <w:sz w:val="18"/>
          <w:szCs w:val="18"/>
        </w:rPr>
        <w:t>货币篮子的数据，但这里仍然采用的是</w:t>
      </w:r>
      <w:r>
        <w:rPr>
          <w:rFonts w:ascii="Times New Roman" w:eastAsia="宋体" w:hAnsi="Times New Roman" w:cs="Times New Roman" w:hint="eastAsia"/>
          <w:sz w:val="18"/>
          <w:szCs w:val="18"/>
        </w:rPr>
        <w:t>BIS</w:t>
      </w:r>
      <w:r>
        <w:rPr>
          <w:rFonts w:ascii="Times New Roman" w:eastAsia="宋体" w:hAnsi="Times New Roman" w:cs="Times New Roman" w:hint="eastAsia"/>
          <w:sz w:val="18"/>
          <w:szCs w:val="18"/>
        </w:rPr>
        <w:t>公布的原始数据。</w:t>
      </w:r>
    </w:p>
    <w:p w:rsidR="004517A9" w:rsidRDefault="00173D2C">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数据来源：</w:t>
      </w:r>
      <w:r>
        <w:rPr>
          <w:rFonts w:ascii="Times New Roman" w:eastAsia="宋体" w:hAnsi="Times New Roman" w:cs="Times New Roman" w:hint="eastAsia"/>
          <w:sz w:val="18"/>
          <w:szCs w:val="18"/>
        </w:rPr>
        <w:t>IWEP-HEER</w:t>
      </w:r>
      <w:r>
        <w:rPr>
          <w:rFonts w:ascii="Times New Roman" w:eastAsia="宋体" w:hAnsi="Times New Roman" w:cs="Times New Roman" w:hint="eastAsia"/>
          <w:sz w:val="18"/>
          <w:szCs w:val="18"/>
        </w:rPr>
        <w:t>数据库，</w:t>
      </w:r>
      <w:r>
        <w:rPr>
          <w:rFonts w:ascii="Times New Roman" w:eastAsia="宋体" w:hAnsi="Times New Roman" w:cs="Times New Roman" w:hint="eastAsia"/>
          <w:sz w:val="18"/>
          <w:szCs w:val="18"/>
        </w:rPr>
        <w:t>CEIC</w:t>
      </w:r>
    </w:p>
    <w:p w:rsidR="004517A9" w:rsidRDefault="004517A9">
      <w:pPr>
        <w:spacing w:line="360" w:lineRule="auto"/>
        <w:rPr>
          <w:rFonts w:ascii="Times New Roman" w:eastAsia="宋体" w:hAnsi="Times New Roman" w:cs="Times New Roman"/>
          <w:sz w:val="24"/>
          <w:szCs w:val="24"/>
        </w:rPr>
      </w:pPr>
    </w:p>
    <w:p w:rsidR="004517A9" w:rsidRDefault="00173D2C">
      <w:pPr>
        <w:pStyle w:val="a3"/>
        <w:keepNext/>
        <w:jc w:val="center"/>
        <w:rPr>
          <w:rFonts w:ascii="黑体" w:hAnsi="黑体" w:cs="Times New Roman"/>
        </w:rPr>
      </w:pPr>
      <w:r>
        <w:rPr>
          <w:rFonts w:ascii="黑体" w:hAnsi="黑体" w:cs="Times New Roman"/>
        </w:rPr>
        <w:t xml:space="preserve">图 </w:t>
      </w:r>
      <w:r w:rsidR="001C1298">
        <w:rPr>
          <w:rFonts w:ascii="黑体" w:hAnsi="黑体" w:cs="Times New Roman"/>
        </w:rPr>
        <w:fldChar w:fldCharType="begin"/>
      </w:r>
      <w:r>
        <w:rPr>
          <w:rFonts w:ascii="黑体" w:hAnsi="黑体" w:cs="Times New Roman"/>
        </w:rPr>
        <w:instrText xml:space="preserve"> SEQ 图 \* ARABIC </w:instrText>
      </w:r>
      <w:r w:rsidR="001C1298">
        <w:rPr>
          <w:rFonts w:ascii="黑体" w:hAnsi="黑体" w:cs="Times New Roman"/>
        </w:rPr>
        <w:fldChar w:fldCharType="separate"/>
      </w:r>
      <w:r>
        <w:rPr>
          <w:rFonts w:ascii="黑体" w:hAnsi="黑体" w:cs="Times New Roman"/>
        </w:rPr>
        <w:t>2</w:t>
      </w:r>
      <w:r w:rsidR="001C1298">
        <w:rPr>
          <w:rFonts w:ascii="黑体" w:hAnsi="黑体" w:cs="Times New Roman"/>
        </w:rPr>
        <w:fldChar w:fldCharType="end"/>
      </w:r>
      <w:r>
        <w:rPr>
          <w:rFonts w:ascii="黑体" w:hAnsi="黑体" w:cs="Times New Roman"/>
        </w:rPr>
        <w:t>基于增加值人民币有效汇率：可贸易品</w:t>
      </w:r>
      <w:proofErr w:type="spellStart"/>
      <w:r>
        <w:rPr>
          <w:rFonts w:ascii="黑体" w:hAnsi="黑体" w:cs="Times New Roman"/>
        </w:rPr>
        <w:t>vs</w:t>
      </w:r>
      <w:proofErr w:type="spellEnd"/>
      <w:r>
        <w:rPr>
          <w:rFonts w:ascii="黑体" w:hAnsi="黑体" w:cs="Times New Roman"/>
        </w:rPr>
        <w:t>不可贸易品</w:t>
      </w:r>
    </w:p>
    <w:p w:rsidR="004517A9" w:rsidRDefault="00891C84">
      <w:pPr>
        <w:spacing w:line="360" w:lineRule="auto"/>
        <w:jc w:val="center"/>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extent cx="5274310" cy="3314154"/>
            <wp:effectExtent l="19050" t="0" r="2540" b="0"/>
            <wp:docPr id="4" name="图片 2" descr="C:\Users\Administrator\AppData\Local\Temp\15854566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Local\Temp\1585456666(1).png"/>
                    <pic:cNvPicPr>
                      <a:picLocks noChangeAspect="1" noChangeArrowheads="1"/>
                    </pic:cNvPicPr>
                  </pic:nvPicPr>
                  <pic:blipFill>
                    <a:blip r:embed="rId10" cstate="print"/>
                    <a:srcRect/>
                    <a:stretch>
                      <a:fillRect/>
                    </a:stretch>
                  </pic:blipFill>
                  <pic:spPr bwMode="auto">
                    <a:xfrm>
                      <a:off x="0" y="0"/>
                      <a:ext cx="5274310" cy="3314154"/>
                    </a:xfrm>
                    <a:prstGeom prst="rect">
                      <a:avLst/>
                    </a:prstGeom>
                    <a:noFill/>
                    <a:ln w="9525">
                      <a:noFill/>
                      <a:miter lim="800000"/>
                      <a:headEnd/>
                      <a:tailEnd/>
                    </a:ln>
                  </pic:spPr>
                </pic:pic>
              </a:graphicData>
            </a:graphic>
          </wp:inline>
        </w:drawing>
      </w:r>
    </w:p>
    <w:p w:rsidR="004517A9" w:rsidRDefault="00173D2C">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说明：上升代表升值，下降代表贬值。</w:t>
      </w:r>
    </w:p>
    <w:p w:rsidR="004517A9" w:rsidRDefault="00173D2C">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18"/>
          <w:szCs w:val="18"/>
        </w:rPr>
        <w:t>数据来源：</w:t>
      </w:r>
      <w:r>
        <w:rPr>
          <w:rFonts w:ascii="Times New Roman" w:eastAsia="宋体" w:hAnsi="Times New Roman" w:cs="Times New Roman" w:hint="eastAsia"/>
          <w:sz w:val="18"/>
          <w:szCs w:val="18"/>
        </w:rPr>
        <w:t>IWEP-HEER</w:t>
      </w:r>
      <w:r>
        <w:rPr>
          <w:rFonts w:ascii="Times New Roman" w:eastAsia="宋体" w:hAnsi="Times New Roman" w:cs="Times New Roman" w:hint="eastAsia"/>
          <w:sz w:val="18"/>
          <w:szCs w:val="18"/>
        </w:rPr>
        <w:t>数据库。</w:t>
      </w:r>
    </w:p>
    <w:p w:rsidR="004517A9" w:rsidRDefault="004517A9">
      <w:pPr>
        <w:spacing w:line="360" w:lineRule="auto"/>
        <w:ind w:firstLine="420"/>
        <w:rPr>
          <w:rFonts w:ascii="Times New Roman" w:eastAsia="宋体" w:hAnsi="Times New Roman" w:cs="Times New Roman"/>
          <w:sz w:val="24"/>
          <w:szCs w:val="24"/>
        </w:rPr>
      </w:pPr>
    </w:p>
    <w:p w:rsidR="004517A9" w:rsidRDefault="00173D2C">
      <w:pPr>
        <w:pStyle w:val="a3"/>
        <w:keepNext/>
        <w:jc w:val="center"/>
      </w:pPr>
      <w:r>
        <w:t>表</w:t>
      </w:r>
      <w:r>
        <w:t xml:space="preserve"> </w:t>
      </w:r>
      <w:r w:rsidR="001C1298">
        <w:fldChar w:fldCharType="begin"/>
      </w:r>
      <w:r>
        <w:instrText xml:space="preserve"> SEQ </w:instrText>
      </w:r>
      <w:r>
        <w:instrText>表格</w:instrText>
      </w:r>
      <w:r>
        <w:instrText xml:space="preserve"> \* ARABIC </w:instrText>
      </w:r>
      <w:r w:rsidR="001C1298">
        <w:fldChar w:fldCharType="separate"/>
      </w:r>
      <w:r>
        <w:t>1</w:t>
      </w:r>
      <w:r w:rsidR="001C1298">
        <w:fldChar w:fldCharType="end"/>
      </w:r>
      <w:r>
        <w:t xml:space="preserve"> </w:t>
      </w:r>
      <w:r>
        <w:rPr>
          <w:rFonts w:hint="eastAsia"/>
        </w:rPr>
        <w:t>分行业基于增加值人民币有效汇率环比变动（</w:t>
      </w:r>
      <w:r>
        <w:rPr>
          <w:rFonts w:hint="eastAsia"/>
        </w:rPr>
        <w:t>2019</w:t>
      </w:r>
      <w:r>
        <w:rPr>
          <w:rFonts w:hint="eastAsia"/>
        </w:rPr>
        <w:t>年</w:t>
      </w:r>
      <w:r w:rsidR="00B136D3">
        <w:rPr>
          <w:rFonts w:hint="eastAsia"/>
        </w:rPr>
        <w:t>7</w:t>
      </w:r>
      <w:r>
        <w:rPr>
          <w:rFonts w:hint="eastAsia"/>
        </w:rPr>
        <w:t>月）</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6"/>
        <w:gridCol w:w="1338"/>
      </w:tblGrid>
      <w:tr w:rsidR="00B136D3" w:rsidRPr="00B136D3" w:rsidTr="00B136D3">
        <w:trPr>
          <w:trHeight w:val="270"/>
          <w:jc w:val="center"/>
        </w:trPr>
        <w:tc>
          <w:tcPr>
            <w:tcW w:w="4492" w:type="dxa"/>
            <w:shd w:val="clear" w:color="auto" w:fill="auto"/>
            <w:noWrap/>
            <w:vAlign w:val="center"/>
            <w:hideMark/>
          </w:tcPr>
          <w:p w:rsidR="00B136D3" w:rsidRPr="00B136D3" w:rsidRDefault="00B136D3" w:rsidP="00B136D3">
            <w:pPr>
              <w:widowControl/>
              <w:jc w:val="center"/>
              <w:rPr>
                <w:rFonts w:ascii="宋体" w:eastAsia="宋体" w:hAnsi="宋体" w:cs="Times New Roman"/>
                <w:b/>
                <w:bCs/>
                <w:color w:val="000000"/>
                <w:kern w:val="0"/>
                <w:szCs w:val="21"/>
              </w:rPr>
            </w:pPr>
            <w:r w:rsidRPr="00B136D3">
              <w:rPr>
                <w:rFonts w:ascii="宋体" w:eastAsia="宋体" w:hAnsi="宋体" w:cs="Times New Roman"/>
                <w:b/>
                <w:bCs/>
                <w:color w:val="000000"/>
                <w:kern w:val="0"/>
                <w:szCs w:val="21"/>
              </w:rPr>
              <w:t>行业</w:t>
            </w:r>
          </w:p>
        </w:tc>
        <w:tc>
          <w:tcPr>
            <w:tcW w:w="1100" w:type="dxa"/>
            <w:shd w:val="clear" w:color="auto" w:fill="auto"/>
            <w:noWrap/>
            <w:vAlign w:val="center"/>
            <w:hideMark/>
          </w:tcPr>
          <w:p w:rsidR="00B136D3" w:rsidRPr="00B136D3" w:rsidRDefault="00B136D3" w:rsidP="00B136D3">
            <w:pPr>
              <w:widowControl/>
              <w:jc w:val="center"/>
              <w:rPr>
                <w:rFonts w:ascii="宋体" w:eastAsia="宋体" w:hAnsi="宋体" w:cs="Times New Roman"/>
                <w:b/>
                <w:bCs/>
                <w:color w:val="000000"/>
                <w:kern w:val="0"/>
                <w:szCs w:val="21"/>
              </w:rPr>
            </w:pPr>
            <w:r w:rsidRPr="00B136D3">
              <w:rPr>
                <w:rFonts w:ascii="宋体" w:eastAsia="宋体" w:hAnsi="宋体" w:cs="Times New Roman"/>
                <w:b/>
                <w:bCs/>
                <w:color w:val="000000"/>
                <w:kern w:val="0"/>
                <w:szCs w:val="21"/>
              </w:rPr>
              <w:t>上月环比</w:t>
            </w:r>
          </w:p>
        </w:tc>
      </w:tr>
      <w:tr w:rsidR="00B136D3" w:rsidRPr="00B136D3" w:rsidTr="00B136D3">
        <w:trPr>
          <w:trHeight w:val="270"/>
          <w:jc w:val="center"/>
        </w:trPr>
        <w:tc>
          <w:tcPr>
            <w:tcW w:w="4492" w:type="dxa"/>
            <w:shd w:val="clear" w:color="000000" w:fill="FFFF00"/>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建筑业</w:t>
            </w:r>
          </w:p>
        </w:tc>
        <w:tc>
          <w:tcPr>
            <w:tcW w:w="1100" w:type="dxa"/>
            <w:shd w:val="clear" w:color="000000" w:fill="FFFF00"/>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0.55%</w:t>
            </w:r>
          </w:p>
        </w:tc>
      </w:tr>
      <w:tr w:rsidR="00B136D3" w:rsidRPr="00B136D3" w:rsidTr="00B136D3">
        <w:trPr>
          <w:trHeight w:val="270"/>
          <w:jc w:val="center"/>
        </w:trPr>
        <w:tc>
          <w:tcPr>
            <w:tcW w:w="4492" w:type="dxa"/>
            <w:shd w:val="clear" w:color="000000" w:fill="FFFF00"/>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设备制造业</w:t>
            </w:r>
          </w:p>
        </w:tc>
        <w:tc>
          <w:tcPr>
            <w:tcW w:w="1100" w:type="dxa"/>
            <w:shd w:val="clear" w:color="000000" w:fill="FFFF00"/>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0.54%</w:t>
            </w:r>
          </w:p>
        </w:tc>
      </w:tr>
      <w:tr w:rsidR="00B136D3" w:rsidRPr="00B136D3" w:rsidTr="00B136D3">
        <w:trPr>
          <w:trHeight w:val="270"/>
          <w:jc w:val="center"/>
        </w:trPr>
        <w:tc>
          <w:tcPr>
            <w:tcW w:w="4492" w:type="dxa"/>
            <w:shd w:val="clear" w:color="auto" w:fill="auto"/>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租赁和商务服务业</w:t>
            </w:r>
          </w:p>
        </w:tc>
        <w:tc>
          <w:tcPr>
            <w:tcW w:w="1100" w:type="dxa"/>
            <w:shd w:val="clear" w:color="auto" w:fill="auto"/>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0.52%</w:t>
            </w:r>
          </w:p>
        </w:tc>
      </w:tr>
      <w:tr w:rsidR="00B136D3" w:rsidRPr="00B136D3" w:rsidTr="00B136D3">
        <w:trPr>
          <w:trHeight w:val="270"/>
          <w:jc w:val="center"/>
        </w:trPr>
        <w:tc>
          <w:tcPr>
            <w:tcW w:w="4492" w:type="dxa"/>
            <w:shd w:val="clear" w:color="auto" w:fill="auto"/>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教育</w:t>
            </w:r>
          </w:p>
        </w:tc>
        <w:tc>
          <w:tcPr>
            <w:tcW w:w="1100" w:type="dxa"/>
            <w:shd w:val="clear" w:color="auto" w:fill="auto"/>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0.51%</w:t>
            </w:r>
          </w:p>
        </w:tc>
      </w:tr>
      <w:tr w:rsidR="00B136D3" w:rsidRPr="00B136D3" w:rsidTr="00B136D3">
        <w:trPr>
          <w:trHeight w:val="270"/>
          <w:jc w:val="center"/>
        </w:trPr>
        <w:tc>
          <w:tcPr>
            <w:tcW w:w="4492" w:type="dxa"/>
            <w:shd w:val="clear" w:color="auto" w:fill="auto"/>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水路运输业</w:t>
            </w:r>
          </w:p>
        </w:tc>
        <w:tc>
          <w:tcPr>
            <w:tcW w:w="1100" w:type="dxa"/>
            <w:shd w:val="clear" w:color="auto" w:fill="auto"/>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0.50%</w:t>
            </w:r>
          </w:p>
        </w:tc>
      </w:tr>
      <w:tr w:rsidR="00B136D3" w:rsidRPr="00B136D3" w:rsidTr="00B136D3">
        <w:trPr>
          <w:trHeight w:val="270"/>
          <w:jc w:val="center"/>
        </w:trPr>
        <w:tc>
          <w:tcPr>
            <w:tcW w:w="4492" w:type="dxa"/>
            <w:shd w:val="clear" w:color="000000" w:fill="FFFF00"/>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运输设备业</w:t>
            </w:r>
          </w:p>
        </w:tc>
        <w:tc>
          <w:tcPr>
            <w:tcW w:w="1100" w:type="dxa"/>
            <w:shd w:val="clear" w:color="000000" w:fill="FFFF00"/>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0.49%</w:t>
            </w:r>
          </w:p>
        </w:tc>
      </w:tr>
      <w:tr w:rsidR="00B136D3" w:rsidRPr="00B136D3" w:rsidTr="00B136D3">
        <w:trPr>
          <w:trHeight w:val="270"/>
          <w:jc w:val="center"/>
        </w:trPr>
        <w:tc>
          <w:tcPr>
            <w:tcW w:w="4492" w:type="dxa"/>
            <w:shd w:val="clear" w:color="auto" w:fill="auto"/>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其他支持和辅助运输业；旅行社活动</w:t>
            </w:r>
          </w:p>
        </w:tc>
        <w:tc>
          <w:tcPr>
            <w:tcW w:w="1100" w:type="dxa"/>
            <w:shd w:val="clear" w:color="auto" w:fill="auto"/>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0.48%</w:t>
            </w:r>
          </w:p>
        </w:tc>
      </w:tr>
      <w:tr w:rsidR="00B136D3" w:rsidRPr="00B136D3" w:rsidTr="00B136D3">
        <w:trPr>
          <w:trHeight w:val="270"/>
          <w:jc w:val="center"/>
        </w:trPr>
        <w:tc>
          <w:tcPr>
            <w:tcW w:w="4492" w:type="dxa"/>
            <w:shd w:val="clear" w:color="auto" w:fill="auto"/>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其他社区、社会和个人服务</w:t>
            </w:r>
          </w:p>
        </w:tc>
        <w:tc>
          <w:tcPr>
            <w:tcW w:w="1100" w:type="dxa"/>
            <w:shd w:val="clear" w:color="auto" w:fill="auto"/>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0.44%</w:t>
            </w:r>
          </w:p>
        </w:tc>
      </w:tr>
      <w:tr w:rsidR="00B136D3" w:rsidRPr="00B136D3" w:rsidTr="00B136D3">
        <w:trPr>
          <w:trHeight w:val="270"/>
          <w:jc w:val="center"/>
        </w:trPr>
        <w:tc>
          <w:tcPr>
            <w:tcW w:w="4492" w:type="dxa"/>
            <w:shd w:val="clear" w:color="000000" w:fill="FFFF00"/>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电气和光学设备制造业</w:t>
            </w:r>
          </w:p>
        </w:tc>
        <w:tc>
          <w:tcPr>
            <w:tcW w:w="1100" w:type="dxa"/>
            <w:shd w:val="clear" w:color="000000" w:fill="FFFF00"/>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0.43%</w:t>
            </w:r>
          </w:p>
        </w:tc>
      </w:tr>
      <w:tr w:rsidR="00B136D3" w:rsidRPr="00B136D3" w:rsidTr="00B136D3">
        <w:trPr>
          <w:trHeight w:val="270"/>
          <w:jc w:val="center"/>
        </w:trPr>
        <w:tc>
          <w:tcPr>
            <w:tcW w:w="4492" w:type="dxa"/>
            <w:shd w:val="clear" w:color="auto" w:fill="auto"/>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航空运输业</w:t>
            </w:r>
          </w:p>
        </w:tc>
        <w:tc>
          <w:tcPr>
            <w:tcW w:w="1100" w:type="dxa"/>
            <w:shd w:val="clear" w:color="auto" w:fill="auto"/>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0.42%</w:t>
            </w:r>
          </w:p>
        </w:tc>
      </w:tr>
      <w:tr w:rsidR="00B136D3" w:rsidRPr="00B136D3" w:rsidTr="00B136D3">
        <w:trPr>
          <w:trHeight w:val="270"/>
          <w:jc w:val="center"/>
        </w:trPr>
        <w:tc>
          <w:tcPr>
            <w:tcW w:w="4492" w:type="dxa"/>
            <w:shd w:val="clear" w:color="000000" w:fill="FFFF00"/>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橡胶和塑料制品业</w:t>
            </w:r>
          </w:p>
        </w:tc>
        <w:tc>
          <w:tcPr>
            <w:tcW w:w="1100" w:type="dxa"/>
            <w:shd w:val="clear" w:color="000000" w:fill="FFFF00"/>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0.39%</w:t>
            </w:r>
          </w:p>
        </w:tc>
      </w:tr>
      <w:tr w:rsidR="00B136D3" w:rsidRPr="00B136D3" w:rsidTr="00B136D3">
        <w:trPr>
          <w:trHeight w:val="270"/>
          <w:jc w:val="center"/>
        </w:trPr>
        <w:tc>
          <w:tcPr>
            <w:tcW w:w="4492" w:type="dxa"/>
            <w:shd w:val="clear" w:color="auto" w:fill="auto"/>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邮政通讯业</w:t>
            </w:r>
          </w:p>
        </w:tc>
        <w:tc>
          <w:tcPr>
            <w:tcW w:w="1100" w:type="dxa"/>
            <w:shd w:val="clear" w:color="auto" w:fill="auto"/>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0.37%</w:t>
            </w:r>
          </w:p>
        </w:tc>
      </w:tr>
      <w:tr w:rsidR="00B136D3" w:rsidRPr="00B136D3" w:rsidTr="00B136D3">
        <w:trPr>
          <w:trHeight w:val="270"/>
          <w:jc w:val="center"/>
        </w:trPr>
        <w:tc>
          <w:tcPr>
            <w:tcW w:w="4492" w:type="dxa"/>
            <w:shd w:val="clear" w:color="auto" w:fill="auto"/>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金融业</w:t>
            </w:r>
          </w:p>
        </w:tc>
        <w:tc>
          <w:tcPr>
            <w:tcW w:w="1100" w:type="dxa"/>
            <w:shd w:val="clear" w:color="auto" w:fill="auto"/>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0.35%</w:t>
            </w:r>
          </w:p>
        </w:tc>
      </w:tr>
      <w:tr w:rsidR="00B136D3" w:rsidRPr="00B136D3" w:rsidTr="00B136D3">
        <w:trPr>
          <w:trHeight w:val="270"/>
          <w:jc w:val="center"/>
        </w:trPr>
        <w:tc>
          <w:tcPr>
            <w:tcW w:w="4492" w:type="dxa"/>
            <w:shd w:val="clear" w:color="000000" w:fill="FFFF00"/>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化学品和化工产品制造业</w:t>
            </w:r>
          </w:p>
        </w:tc>
        <w:tc>
          <w:tcPr>
            <w:tcW w:w="1100" w:type="dxa"/>
            <w:shd w:val="clear" w:color="000000" w:fill="FFFF00"/>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0.35%</w:t>
            </w:r>
          </w:p>
        </w:tc>
      </w:tr>
      <w:tr w:rsidR="00B136D3" w:rsidRPr="00B136D3" w:rsidTr="00B136D3">
        <w:trPr>
          <w:trHeight w:val="270"/>
          <w:jc w:val="center"/>
        </w:trPr>
        <w:tc>
          <w:tcPr>
            <w:tcW w:w="4492" w:type="dxa"/>
            <w:shd w:val="clear" w:color="auto" w:fill="auto"/>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卫生和社会工作</w:t>
            </w:r>
          </w:p>
        </w:tc>
        <w:tc>
          <w:tcPr>
            <w:tcW w:w="1100" w:type="dxa"/>
            <w:shd w:val="clear" w:color="auto" w:fill="auto"/>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0.35%</w:t>
            </w:r>
          </w:p>
        </w:tc>
      </w:tr>
      <w:tr w:rsidR="00B136D3" w:rsidRPr="00B136D3" w:rsidTr="00B136D3">
        <w:trPr>
          <w:trHeight w:val="270"/>
          <w:jc w:val="center"/>
        </w:trPr>
        <w:tc>
          <w:tcPr>
            <w:tcW w:w="4492" w:type="dxa"/>
            <w:shd w:val="clear" w:color="000000" w:fill="FFFF00"/>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金属和金属制品业</w:t>
            </w:r>
          </w:p>
        </w:tc>
        <w:tc>
          <w:tcPr>
            <w:tcW w:w="1100" w:type="dxa"/>
            <w:shd w:val="clear" w:color="000000" w:fill="FFFF00"/>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0.34%</w:t>
            </w:r>
          </w:p>
        </w:tc>
      </w:tr>
      <w:tr w:rsidR="00B136D3" w:rsidRPr="00B136D3" w:rsidTr="00B136D3">
        <w:trPr>
          <w:trHeight w:val="270"/>
          <w:jc w:val="center"/>
        </w:trPr>
        <w:tc>
          <w:tcPr>
            <w:tcW w:w="4492" w:type="dxa"/>
            <w:shd w:val="clear" w:color="auto" w:fill="auto"/>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公共管理和国防业；强制性社会保障</w:t>
            </w:r>
          </w:p>
        </w:tc>
        <w:tc>
          <w:tcPr>
            <w:tcW w:w="1100" w:type="dxa"/>
            <w:shd w:val="clear" w:color="auto" w:fill="auto"/>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0.34%</w:t>
            </w:r>
          </w:p>
        </w:tc>
      </w:tr>
      <w:tr w:rsidR="00B136D3" w:rsidRPr="00B136D3" w:rsidTr="00B136D3">
        <w:trPr>
          <w:trHeight w:val="270"/>
          <w:jc w:val="center"/>
        </w:trPr>
        <w:tc>
          <w:tcPr>
            <w:tcW w:w="4492" w:type="dxa"/>
            <w:shd w:val="clear" w:color="000000" w:fill="FFFF00"/>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其他非金属矿物制品业</w:t>
            </w:r>
          </w:p>
        </w:tc>
        <w:tc>
          <w:tcPr>
            <w:tcW w:w="1100" w:type="dxa"/>
            <w:shd w:val="clear" w:color="000000" w:fill="FFFF00"/>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0.33%</w:t>
            </w:r>
          </w:p>
        </w:tc>
      </w:tr>
      <w:tr w:rsidR="00B136D3" w:rsidRPr="00B136D3" w:rsidTr="00B136D3">
        <w:trPr>
          <w:trHeight w:val="270"/>
          <w:jc w:val="center"/>
        </w:trPr>
        <w:tc>
          <w:tcPr>
            <w:tcW w:w="4492" w:type="dxa"/>
            <w:shd w:val="clear" w:color="auto" w:fill="auto"/>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房地产业</w:t>
            </w:r>
          </w:p>
        </w:tc>
        <w:tc>
          <w:tcPr>
            <w:tcW w:w="1100" w:type="dxa"/>
            <w:shd w:val="clear" w:color="auto" w:fill="auto"/>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0.32%</w:t>
            </w:r>
          </w:p>
        </w:tc>
      </w:tr>
      <w:tr w:rsidR="00B136D3" w:rsidRPr="00B136D3" w:rsidTr="00B136D3">
        <w:trPr>
          <w:trHeight w:val="270"/>
          <w:jc w:val="center"/>
        </w:trPr>
        <w:tc>
          <w:tcPr>
            <w:tcW w:w="4492" w:type="dxa"/>
            <w:shd w:val="clear" w:color="000000" w:fill="FFFF00"/>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其他制造业（含回收利用）</w:t>
            </w:r>
          </w:p>
        </w:tc>
        <w:tc>
          <w:tcPr>
            <w:tcW w:w="1100" w:type="dxa"/>
            <w:shd w:val="clear" w:color="000000" w:fill="FFFF00"/>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0.31%</w:t>
            </w:r>
          </w:p>
        </w:tc>
      </w:tr>
      <w:tr w:rsidR="00B136D3" w:rsidRPr="00B136D3" w:rsidTr="00B136D3">
        <w:trPr>
          <w:trHeight w:val="270"/>
          <w:jc w:val="center"/>
        </w:trPr>
        <w:tc>
          <w:tcPr>
            <w:tcW w:w="4492" w:type="dxa"/>
            <w:shd w:val="clear" w:color="000000" w:fill="FFFF00"/>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纸浆、纸、纸张、印刷和出版业</w:t>
            </w:r>
          </w:p>
        </w:tc>
        <w:tc>
          <w:tcPr>
            <w:tcW w:w="1100" w:type="dxa"/>
            <w:shd w:val="clear" w:color="000000" w:fill="FFFF00"/>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0.30%</w:t>
            </w:r>
          </w:p>
        </w:tc>
      </w:tr>
      <w:tr w:rsidR="00B136D3" w:rsidRPr="00B136D3" w:rsidTr="00B136D3">
        <w:trPr>
          <w:trHeight w:val="270"/>
          <w:jc w:val="center"/>
        </w:trPr>
        <w:tc>
          <w:tcPr>
            <w:tcW w:w="4492" w:type="dxa"/>
            <w:shd w:val="clear" w:color="auto" w:fill="auto"/>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酒店和餐饮业</w:t>
            </w:r>
          </w:p>
        </w:tc>
        <w:tc>
          <w:tcPr>
            <w:tcW w:w="1100" w:type="dxa"/>
            <w:shd w:val="clear" w:color="auto" w:fill="auto"/>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0.29%</w:t>
            </w:r>
          </w:p>
        </w:tc>
      </w:tr>
      <w:tr w:rsidR="00B136D3" w:rsidRPr="00B136D3" w:rsidTr="00B136D3">
        <w:trPr>
          <w:trHeight w:val="270"/>
          <w:jc w:val="center"/>
        </w:trPr>
        <w:tc>
          <w:tcPr>
            <w:tcW w:w="4492" w:type="dxa"/>
            <w:shd w:val="clear" w:color="000000" w:fill="FFFF00"/>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电力、燃气、水的供应业</w:t>
            </w:r>
          </w:p>
        </w:tc>
        <w:tc>
          <w:tcPr>
            <w:tcW w:w="1100" w:type="dxa"/>
            <w:shd w:val="clear" w:color="000000" w:fill="FFFF00"/>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0.29%</w:t>
            </w:r>
          </w:p>
        </w:tc>
      </w:tr>
      <w:tr w:rsidR="00B136D3" w:rsidRPr="00B136D3" w:rsidTr="00B136D3">
        <w:trPr>
          <w:trHeight w:val="270"/>
          <w:jc w:val="center"/>
        </w:trPr>
        <w:tc>
          <w:tcPr>
            <w:tcW w:w="4492" w:type="dxa"/>
            <w:shd w:val="clear" w:color="auto" w:fill="auto"/>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批发贸易和经纪贸易(除了汽车和摩托车)</w:t>
            </w:r>
          </w:p>
        </w:tc>
        <w:tc>
          <w:tcPr>
            <w:tcW w:w="1100" w:type="dxa"/>
            <w:shd w:val="clear" w:color="auto" w:fill="auto"/>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0.27%</w:t>
            </w:r>
          </w:p>
        </w:tc>
      </w:tr>
      <w:tr w:rsidR="00B136D3" w:rsidRPr="00B136D3" w:rsidTr="00B136D3">
        <w:trPr>
          <w:trHeight w:val="270"/>
          <w:jc w:val="center"/>
        </w:trPr>
        <w:tc>
          <w:tcPr>
            <w:tcW w:w="4492" w:type="dxa"/>
            <w:shd w:val="clear" w:color="000000" w:fill="FFFF00"/>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皮革,皮革制品和鞋业</w:t>
            </w:r>
          </w:p>
        </w:tc>
        <w:tc>
          <w:tcPr>
            <w:tcW w:w="1100" w:type="dxa"/>
            <w:shd w:val="clear" w:color="000000" w:fill="FFFF00"/>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0.25%</w:t>
            </w:r>
          </w:p>
        </w:tc>
      </w:tr>
      <w:tr w:rsidR="00B136D3" w:rsidRPr="00B136D3" w:rsidTr="00B136D3">
        <w:trPr>
          <w:trHeight w:val="270"/>
          <w:jc w:val="center"/>
        </w:trPr>
        <w:tc>
          <w:tcPr>
            <w:tcW w:w="4492" w:type="dxa"/>
            <w:shd w:val="clear" w:color="000000" w:fill="FFFF00"/>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食品、饮料和烟草业</w:t>
            </w:r>
          </w:p>
        </w:tc>
        <w:tc>
          <w:tcPr>
            <w:tcW w:w="1100" w:type="dxa"/>
            <w:shd w:val="clear" w:color="000000" w:fill="FFFF00"/>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0.23%</w:t>
            </w:r>
          </w:p>
        </w:tc>
      </w:tr>
      <w:tr w:rsidR="00B136D3" w:rsidRPr="00B136D3" w:rsidTr="00B136D3">
        <w:trPr>
          <w:trHeight w:val="270"/>
          <w:jc w:val="center"/>
        </w:trPr>
        <w:tc>
          <w:tcPr>
            <w:tcW w:w="4492" w:type="dxa"/>
            <w:shd w:val="clear" w:color="auto" w:fill="auto"/>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零售贸易（除了汽车和摩托车）,家用商品修理</w:t>
            </w:r>
          </w:p>
        </w:tc>
        <w:tc>
          <w:tcPr>
            <w:tcW w:w="1100" w:type="dxa"/>
            <w:shd w:val="clear" w:color="auto" w:fill="auto"/>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0.20%</w:t>
            </w:r>
          </w:p>
        </w:tc>
      </w:tr>
      <w:tr w:rsidR="00B136D3" w:rsidRPr="00B136D3" w:rsidTr="00B136D3">
        <w:trPr>
          <w:trHeight w:val="270"/>
          <w:jc w:val="center"/>
        </w:trPr>
        <w:tc>
          <w:tcPr>
            <w:tcW w:w="4492" w:type="dxa"/>
            <w:shd w:val="clear" w:color="000000" w:fill="FFFF00"/>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木材、木材制品业</w:t>
            </w:r>
          </w:p>
        </w:tc>
        <w:tc>
          <w:tcPr>
            <w:tcW w:w="1100" w:type="dxa"/>
            <w:shd w:val="clear" w:color="000000" w:fill="FFFF00"/>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0.20%</w:t>
            </w:r>
          </w:p>
        </w:tc>
      </w:tr>
      <w:tr w:rsidR="00B136D3" w:rsidRPr="00B136D3" w:rsidTr="00B136D3">
        <w:trPr>
          <w:trHeight w:val="270"/>
          <w:jc w:val="center"/>
        </w:trPr>
        <w:tc>
          <w:tcPr>
            <w:tcW w:w="4492" w:type="dxa"/>
            <w:shd w:val="clear" w:color="auto" w:fill="auto"/>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内陆运输业</w:t>
            </w:r>
          </w:p>
        </w:tc>
        <w:tc>
          <w:tcPr>
            <w:tcW w:w="1100" w:type="dxa"/>
            <w:shd w:val="clear" w:color="auto" w:fill="auto"/>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0.16%</w:t>
            </w:r>
          </w:p>
        </w:tc>
      </w:tr>
      <w:tr w:rsidR="00B136D3" w:rsidRPr="00B136D3" w:rsidTr="00B136D3">
        <w:trPr>
          <w:trHeight w:val="270"/>
          <w:jc w:val="center"/>
        </w:trPr>
        <w:tc>
          <w:tcPr>
            <w:tcW w:w="4492" w:type="dxa"/>
            <w:shd w:val="clear" w:color="000000" w:fill="FFFF00"/>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纺织材料和纺织制品业</w:t>
            </w:r>
          </w:p>
        </w:tc>
        <w:tc>
          <w:tcPr>
            <w:tcW w:w="1100" w:type="dxa"/>
            <w:shd w:val="clear" w:color="000000" w:fill="FFFF00"/>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0.09%</w:t>
            </w:r>
          </w:p>
        </w:tc>
      </w:tr>
      <w:tr w:rsidR="00B136D3" w:rsidRPr="00B136D3" w:rsidTr="00B136D3">
        <w:trPr>
          <w:trHeight w:val="270"/>
          <w:jc w:val="center"/>
        </w:trPr>
        <w:tc>
          <w:tcPr>
            <w:tcW w:w="4492" w:type="dxa"/>
            <w:shd w:val="clear" w:color="000000" w:fill="FFFF00"/>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石油加工、炼焦及核燃料加工业</w:t>
            </w:r>
          </w:p>
        </w:tc>
        <w:tc>
          <w:tcPr>
            <w:tcW w:w="1100" w:type="dxa"/>
            <w:shd w:val="clear" w:color="000000" w:fill="FFFF00"/>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0.02%</w:t>
            </w:r>
          </w:p>
        </w:tc>
      </w:tr>
      <w:tr w:rsidR="00B136D3" w:rsidRPr="00B136D3" w:rsidTr="00B136D3">
        <w:trPr>
          <w:trHeight w:val="270"/>
          <w:jc w:val="center"/>
        </w:trPr>
        <w:tc>
          <w:tcPr>
            <w:tcW w:w="4492" w:type="dxa"/>
            <w:shd w:val="clear" w:color="000000" w:fill="00FF00"/>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农林牧渔业</w:t>
            </w:r>
          </w:p>
        </w:tc>
        <w:tc>
          <w:tcPr>
            <w:tcW w:w="1100" w:type="dxa"/>
            <w:shd w:val="clear" w:color="000000" w:fill="00FF00"/>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-0.03%</w:t>
            </w:r>
          </w:p>
        </w:tc>
      </w:tr>
      <w:tr w:rsidR="00B136D3" w:rsidRPr="00B136D3" w:rsidTr="00B136D3">
        <w:trPr>
          <w:trHeight w:val="270"/>
          <w:jc w:val="center"/>
        </w:trPr>
        <w:tc>
          <w:tcPr>
            <w:tcW w:w="4492" w:type="dxa"/>
            <w:shd w:val="clear" w:color="000000" w:fill="FFFF00"/>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采矿和采石业</w:t>
            </w:r>
          </w:p>
        </w:tc>
        <w:tc>
          <w:tcPr>
            <w:tcW w:w="1100" w:type="dxa"/>
            <w:shd w:val="clear" w:color="000000" w:fill="FFFF00"/>
            <w:noWrap/>
            <w:vAlign w:val="center"/>
            <w:hideMark/>
          </w:tcPr>
          <w:p w:rsidR="00B136D3" w:rsidRPr="00B136D3" w:rsidRDefault="00B136D3" w:rsidP="00B136D3">
            <w:pPr>
              <w:widowControl/>
              <w:jc w:val="center"/>
              <w:rPr>
                <w:rFonts w:ascii="宋体" w:eastAsia="宋体" w:hAnsi="宋体" w:cs="宋体"/>
                <w:color w:val="000000"/>
                <w:kern w:val="0"/>
                <w:szCs w:val="21"/>
              </w:rPr>
            </w:pPr>
            <w:r w:rsidRPr="00B136D3">
              <w:rPr>
                <w:rFonts w:ascii="宋体" w:eastAsia="宋体" w:hAnsi="宋体" w:cs="宋体" w:hint="eastAsia"/>
                <w:color w:val="000000"/>
                <w:kern w:val="0"/>
                <w:szCs w:val="21"/>
              </w:rPr>
              <w:t>-0.43%</w:t>
            </w:r>
          </w:p>
        </w:tc>
      </w:tr>
    </w:tbl>
    <w:p w:rsidR="004517A9" w:rsidRDefault="00173D2C">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说明：绿色阴影为第一产业，黄色阴影为第二产业，白色为第三产业，下表同。</w:t>
      </w:r>
    </w:p>
    <w:p w:rsidR="004517A9" w:rsidRDefault="00173D2C">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数据来源：</w:t>
      </w:r>
      <w:r>
        <w:rPr>
          <w:rFonts w:ascii="Times New Roman" w:eastAsia="宋体" w:hAnsi="Times New Roman" w:cs="Times New Roman" w:hint="eastAsia"/>
          <w:sz w:val="18"/>
          <w:szCs w:val="18"/>
        </w:rPr>
        <w:t>IWEP-HEER</w:t>
      </w:r>
      <w:r>
        <w:rPr>
          <w:rFonts w:ascii="Times New Roman" w:eastAsia="宋体" w:hAnsi="Times New Roman" w:cs="Times New Roman" w:hint="eastAsia"/>
          <w:sz w:val="18"/>
          <w:szCs w:val="18"/>
        </w:rPr>
        <w:t>数据库，作者计算，下表同。</w:t>
      </w:r>
    </w:p>
    <w:p w:rsidR="004517A9" w:rsidRDefault="004517A9">
      <w:pPr>
        <w:spacing w:line="360" w:lineRule="auto"/>
        <w:ind w:firstLine="420"/>
        <w:rPr>
          <w:rFonts w:ascii="Times New Roman" w:eastAsia="宋体" w:hAnsi="Times New Roman" w:cs="Times New Roman"/>
          <w:sz w:val="18"/>
          <w:szCs w:val="18"/>
        </w:rPr>
      </w:pPr>
    </w:p>
    <w:p w:rsidR="00DF459B" w:rsidRDefault="00DF459B">
      <w:pPr>
        <w:spacing w:line="360" w:lineRule="auto"/>
        <w:ind w:firstLine="420"/>
        <w:rPr>
          <w:rFonts w:ascii="Times New Roman" w:eastAsia="宋体" w:hAnsi="Times New Roman" w:cs="Times New Roman"/>
          <w:sz w:val="18"/>
          <w:szCs w:val="18"/>
        </w:rPr>
      </w:pPr>
    </w:p>
    <w:p w:rsidR="004517A9" w:rsidRDefault="00173D2C">
      <w:pPr>
        <w:pStyle w:val="a3"/>
        <w:keepNext/>
        <w:jc w:val="center"/>
      </w:pPr>
      <w:r>
        <w:lastRenderedPageBreak/>
        <w:t>表格</w:t>
      </w:r>
      <w:r>
        <w:t xml:space="preserve"> </w:t>
      </w:r>
      <w:r w:rsidR="001C1298">
        <w:fldChar w:fldCharType="begin"/>
      </w:r>
      <w:r>
        <w:instrText xml:space="preserve"> SEQ </w:instrText>
      </w:r>
      <w:r>
        <w:instrText>表格</w:instrText>
      </w:r>
      <w:r>
        <w:instrText xml:space="preserve"> \* ARABIC </w:instrText>
      </w:r>
      <w:r w:rsidR="001C1298">
        <w:fldChar w:fldCharType="separate"/>
      </w:r>
      <w:r>
        <w:t>2</w:t>
      </w:r>
      <w:r w:rsidR="001C1298">
        <w:fldChar w:fldCharType="end"/>
      </w:r>
      <w:r>
        <w:t xml:space="preserve"> </w:t>
      </w:r>
      <w:r>
        <w:rPr>
          <w:rFonts w:hint="eastAsia"/>
        </w:rPr>
        <w:t>分行业基于增加值人民币有效汇率同比变动（</w:t>
      </w:r>
      <w:r>
        <w:rPr>
          <w:rFonts w:hint="eastAsia"/>
        </w:rPr>
        <w:t>2019</w:t>
      </w:r>
      <w:r>
        <w:rPr>
          <w:rFonts w:hint="eastAsia"/>
        </w:rPr>
        <w:t>年</w:t>
      </w:r>
      <w:r w:rsidR="00DF459B">
        <w:rPr>
          <w:rFonts w:hint="eastAsia"/>
        </w:rPr>
        <w:t>7</w:t>
      </w:r>
      <w:r>
        <w:rPr>
          <w:rFonts w:hint="eastAsia"/>
        </w:rPr>
        <w:t>月）</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5"/>
        <w:gridCol w:w="1319"/>
      </w:tblGrid>
      <w:tr w:rsidR="00DF459B" w:rsidRPr="00DF459B" w:rsidTr="00DF459B">
        <w:trPr>
          <w:trHeight w:val="270"/>
          <w:jc w:val="center"/>
        </w:trPr>
        <w:tc>
          <w:tcPr>
            <w:tcW w:w="4490" w:type="dxa"/>
            <w:shd w:val="clear" w:color="auto" w:fill="auto"/>
            <w:noWrap/>
            <w:vAlign w:val="center"/>
            <w:hideMark/>
          </w:tcPr>
          <w:p w:rsidR="00DF459B" w:rsidRPr="00DF459B" w:rsidRDefault="00DF459B" w:rsidP="00DF459B">
            <w:pPr>
              <w:widowControl/>
              <w:jc w:val="center"/>
              <w:rPr>
                <w:rFonts w:ascii="宋体" w:eastAsia="宋体" w:hAnsi="宋体" w:cs="Times New Roman"/>
                <w:color w:val="000000"/>
                <w:kern w:val="0"/>
                <w:szCs w:val="21"/>
              </w:rPr>
            </w:pPr>
            <w:r w:rsidRPr="00DF459B">
              <w:rPr>
                <w:rFonts w:ascii="宋体" w:eastAsia="宋体" w:hAnsi="宋体" w:cs="Times New Roman"/>
                <w:color w:val="000000"/>
                <w:kern w:val="0"/>
                <w:szCs w:val="21"/>
              </w:rPr>
              <w:t>行业</w:t>
            </w:r>
          </w:p>
        </w:tc>
        <w:tc>
          <w:tcPr>
            <w:tcW w:w="1080" w:type="dxa"/>
            <w:shd w:val="clear" w:color="auto" w:fill="auto"/>
            <w:noWrap/>
            <w:vAlign w:val="center"/>
            <w:hideMark/>
          </w:tcPr>
          <w:p w:rsidR="00DF459B" w:rsidRPr="00DF459B" w:rsidRDefault="00DF459B" w:rsidP="00DF459B">
            <w:pPr>
              <w:widowControl/>
              <w:jc w:val="center"/>
              <w:rPr>
                <w:rFonts w:ascii="宋体" w:eastAsia="宋体" w:hAnsi="宋体" w:cs="Times New Roman"/>
                <w:color w:val="000000"/>
                <w:kern w:val="0"/>
                <w:szCs w:val="21"/>
              </w:rPr>
            </w:pPr>
            <w:r w:rsidRPr="00DF459B">
              <w:rPr>
                <w:rFonts w:ascii="宋体" w:eastAsia="宋体" w:hAnsi="宋体" w:cs="Times New Roman"/>
                <w:color w:val="000000"/>
                <w:kern w:val="0"/>
                <w:szCs w:val="21"/>
              </w:rPr>
              <w:t>上年同比</w:t>
            </w:r>
          </w:p>
        </w:tc>
      </w:tr>
      <w:tr w:rsidR="00DF459B" w:rsidRPr="00DF459B" w:rsidTr="00DF459B">
        <w:trPr>
          <w:trHeight w:val="270"/>
          <w:jc w:val="center"/>
        </w:trPr>
        <w:tc>
          <w:tcPr>
            <w:tcW w:w="4490" w:type="dxa"/>
            <w:shd w:val="clear" w:color="000000" w:fill="FFFF00"/>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石油加工、炼焦及核燃料加工业</w:t>
            </w:r>
          </w:p>
        </w:tc>
        <w:tc>
          <w:tcPr>
            <w:tcW w:w="1080" w:type="dxa"/>
            <w:shd w:val="clear" w:color="000000" w:fill="FFFF00"/>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-2.01%</w:t>
            </w:r>
          </w:p>
        </w:tc>
      </w:tr>
      <w:tr w:rsidR="00DF459B" w:rsidRPr="00DF459B" w:rsidTr="00DF459B">
        <w:trPr>
          <w:trHeight w:val="270"/>
          <w:jc w:val="center"/>
        </w:trPr>
        <w:tc>
          <w:tcPr>
            <w:tcW w:w="4490" w:type="dxa"/>
            <w:shd w:val="clear" w:color="000000" w:fill="FFFF00"/>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食品、饮料和烟草业</w:t>
            </w:r>
          </w:p>
        </w:tc>
        <w:tc>
          <w:tcPr>
            <w:tcW w:w="1080" w:type="dxa"/>
            <w:shd w:val="clear" w:color="000000" w:fill="FFFF00"/>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-1.07%</w:t>
            </w:r>
          </w:p>
        </w:tc>
      </w:tr>
      <w:tr w:rsidR="00DF459B" w:rsidRPr="00DF459B" w:rsidTr="00DF459B">
        <w:trPr>
          <w:trHeight w:val="270"/>
          <w:jc w:val="center"/>
        </w:trPr>
        <w:tc>
          <w:tcPr>
            <w:tcW w:w="4490" w:type="dxa"/>
            <w:shd w:val="clear" w:color="auto" w:fill="auto"/>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公共管理和国防业；强制性社会保障</w:t>
            </w:r>
          </w:p>
        </w:tc>
        <w:tc>
          <w:tcPr>
            <w:tcW w:w="1080" w:type="dxa"/>
            <w:shd w:val="clear" w:color="auto" w:fill="auto"/>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-1.06%</w:t>
            </w:r>
          </w:p>
        </w:tc>
      </w:tr>
      <w:tr w:rsidR="00DF459B" w:rsidRPr="00DF459B" w:rsidTr="00DF459B">
        <w:trPr>
          <w:trHeight w:val="270"/>
          <w:jc w:val="center"/>
        </w:trPr>
        <w:tc>
          <w:tcPr>
            <w:tcW w:w="4490" w:type="dxa"/>
            <w:shd w:val="clear" w:color="auto" w:fill="auto"/>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批发贸易和经纪贸易(除了汽车和摩托车)</w:t>
            </w:r>
          </w:p>
        </w:tc>
        <w:tc>
          <w:tcPr>
            <w:tcW w:w="1080" w:type="dxa"/>
            <w:shd w:val="clear" w:color="auto" w:fill="auto"/>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-1.05%</w:t>
            </w:r>
          </w:p>
        </w:tc>
      </w:tr>
      <w:tr w:rsidR="00DF459B" w:rsidRPr="00DF459B" w:rsidTr="00DF459B">
        <w:trPr>
          <w:trHeight w:val="270"/>
          <w:jc w:val="center"/>
        </w:trPr>
        <w:tc>
          <w:tcPr>
            <w:tcW w:w="4490" w:type="dxa"/>
            <w:shd w:val="clear" w:color="000000" w:fill="FFFF00"/>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电气和光学设备制造业</w:t>
            </w:r>
          </w:p>
        </w:tc>
        <w:tc>
          <w:tcPr>
            <w:tcW w:w="1080" w:type="dxa"/>
            <w:shd w:val="clear" w:color="000000" w:fill="FFFF00"/>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-1.04%</w:t>
            </w:r>
          </w:p>
        </w:tc>
      </w:tr>
      <w:tr w:rsidR="00DF459B" w:rsidRPr="00DF459B" w:rsidTr="00DF459B">
        <w:trPr>
          <w:trHeight w:val="270"/>
          <w:jc w:val="center"/>
        </w:trPr>
        <w:tc>
          <w:tcPr>
            <w:tcW w:w="4490" w:type="dxa"/>
            <w:shd w:val="clear" w:color="000000" w:fill="FFFF00"/>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纸浆、纸、纸张、印刷和出版业</w:t>
            </w:r>
          </w:p>
        </w:tc>
        <w:tc>
          <w:tcPr>
            <w:tcW w:w="1080" w:type="dxa"/>
            <w:shd w:val="clear" w:color="000000" w:fill="FFFF00"/>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-0.91%</w:t>
            </w:r>
          </w:p>
        </w:tc>
      </w:tr>
      <w:tr w:rsidR="00DF459B" w:rsidRPr="00DF459B" w:rsidTr="00DF459B">
        <w:trPr>
          <w:trHeight w:val="270"/>
          <w:jc w:val="center"/>
        </w:trPr>
        <w:tc>
          <w:tcPr>
            <w:tcW w:w="4490" w:type="dxa"/>
            <w:shd w:val="clear" w:color="000000" w:fill="FFFF00"/>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木材、木材制品业</w:t>
            </w:r>
          </w:p>
        </w:tc>
        <w:tc>
          <w:tcPr>
            <w:tcW w:w="1080" w:type="dxa"/>
            <w:shd w:val="clear" w:color="000000" w:fill="FFFF00"/>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-0.91%</w:t>
            </w:r>
          </w:p>
        </w:tc>
      </w:tr>
      <w:tr w:rsidR="00DF459B" w:rsidRPr="00DF459B" w:rsidTr="00DF459B">
        <w:trPr>
          <w:trHeight w:val="270"/>
          <w:jc w:val="center"/>
        </w:trPr>
        <w:tc>
          <w:tcPr>
            <w:tcW w:w="4490" w:type="dxa"/>
            <w:shd w:val="clear" w:color="000000" w:fill="00FF00"/>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农林牧渔业</w:t>
            </w:r>
          </w:p>
        </w:tc>
        <w:tc>
          <w:tcPr>
            <w:tcW w:w="1080" w:type="dxa"/>
            <w:shd w:val="clear" w:color="000000" w:fill="00FF00"/>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-0.89%</w:t>
            </w:r>
          </w:p>
        </w:tc>
      </w:tr>
      <w:tr w:rsidR="00DF459B" w:rsidRPr="00DF459B" w:rsidTr="00DF459B">
        <w:trPr>
          <w:trHeight w:val="270"/>
          <w:jc w:val="center"/>
        </w:trPr>
        <w:tc>
          <w:tcPr>
            <w:tcW w:w="4490" w:type="dxa"/>
            <w:shd w:val="clear" w:color="000000" w:fill="FFFF00"/>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橡胶和塑料制品业</w:t>
            </w:r>
          </w:p>
        </w:tc>
        <w:tc>
          <w:tcPr>
            <w:tcW w:w="1080" w:type="dxa"/>
            <w:shd w:val="clear" w:color="000000" w:fill="FFFF00"/>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-0.87%</w:t>
            </w:r>
          </w:p>
        </w:tc>
      </w:tr>
      <w:tr w:rsidR="00DF459B" w:rsidRPr="00DF459B" w:rsidTr="00DF459B">
        <w:trPr>
          <w:trHeight w:val="270"/>
          <w:jc w:val="center"/>
        </w:trPr>
        <w:tc>
          <w:tcPr>
            <w:tcW w:w="4490" w:type="dxa"/>
            <w:shd w:val="clear" w:color="000000" w:fill="FFFF00"/>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运输设备业</w:t>
            </w:r>
          </w:p>
        </w:tc>
        <w:tc>
          <w:tcPr>
            <w:tcW w:w="1080" w:type="dxa"/>
            <w:shd w:val="clear" w:color="000000" w:fill="FFFF00"/>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-0.85%</w:t>
            </w:r>
          </w:p>
        </w:tc>
      </w:tr>
      <w:tr w:rsidR="00DF459B" w:rsidRPr="00DF459B" w:rsidTr="00DF459B">
        <w:trPr>
          <w:trHeight w:val="270"/>
          <w:jc w:val="center"/>
        </w:trPr>
        <w:tc>
          <w:tcPr>
            <w:tcW w:w="4490" w:type="dxa"/>
            <w:shd w:val="clear" w:color="000000" w:fill="FFFF00"/>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金属和金属制品业</w:t>
            </w:r>
          </w:p>
        </w:tc>
        <w:tc>
          <w:tcPr>
            <w:tcW w:w="1080" w:type="dxa"/>
            <w:shd w:val="clear" w:color="000000" w:fill="FFFF00"/>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-0.81%</w:t>
            </w:r>
          </w:p>
        </w:tc>
      </w:tr>
      <w:tr w:rsidR="00DF459B" w:rsidRPr="00DF459B" w:rsidTr="00DF459B">
        <w:trPr>
          <w:trHeight w:val="270"/>
          <w:jc w:val="center"/>
        </w:trPr>
        <w:tc>
          <w:tcPr>
            <w:tcW w:w="4490" w:type="dxa"/>
            <w:shd w:val="clear" w:color="auto" w:fill="auto"/>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酒店和餐饮业</w:t>
            </w:r>
          </w:p>
        </w:tc>
        <w:tc>
          <w:tcPr>
            <w:tcW w:w="1080" w:type="dxa"/>
            <w:shd w:val="clear" w:color="auto" w:fill="auto"/>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-0.71%</w:t>
            </w:r>
          </w:p>
        </w:tc>
      </w:tr>
      <w:tr w:rsidR="00DF459B" w:rsidRPr="00DF459B" w:rsidTr="00DF459B">
        <w:trPr>
          <w:trHeight w:val="270"/>
          <w:jc w:val="center"/>
        </w:trPr>
        <w:tc>
          <w:tcPr>
            <w:tcW w:w="4490" w:type="dxa"/>
            <w:shd w:val="clear" w:color="000000" w:fill="FFFF00"/>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化学品和化工产品制造业</w:t>
            </w:r>
          </w:p>
        </w:tc>
        <w:tc>
          <w:tcPr>
            <w:tcW w:w="1080" w:type="dxa"/>
            <w:shd w:val="clear" w:color="000000" w:fill="FFFF00"/>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-0.71%</w:t>
            </w:r>
          </w:p>
        </w:tc>
      </w:tr>
      <w:tr w:rsidR="00DF459B" w:rsidRPr="00DF459B" w:rsidTr="00DF459B">
        <w:trPr>
          <w:trHeight w:val="270"/>
          <w:jc w:val="center"/>
        </w:trPr>
        <w:tc>
          <w:tcPr>
            <w:tcW w:w="4490" w:type="dxa"/>
            <w:shd w:val="clear" w:color="auto" w:fill="auto"/>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金融业</w:t>
            </w:r>
          </w:p>
        </w:tc>
        <w:tc>
          <w:tcPr>
            <w:tcW w:w="1080" w:type="dxa"/>
            <w:shd w:val="clear" w:color="auto" w:fill="auto"/>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-0.69%</w:t>
            </w:r>
          </w:p>
        </w:tc>
      </w:tr>
      <w:tr w:rsidR="00DF459B" w:rsidRPr="00DF459B" w:rsidTr="00DF459B">
        <w:trPr>
          <w:trHeight w:val="270"/>
          <w:jc w:val="center"/>
        </w:trPr>
        <w:tc>
          <w:tcPr>
            <w:tcW w:w="4490" w:type="dxa"/>
            <w:shd w:val="clear" w:color="000000" w:fill="FFFF00"/>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电力、燃气、水的供应业</w:t>
            </w:r>
          </w:p>
        </w:tc>
        <w:tc>
          <w:tcPr>
            <w:tcW w:w="1080" w:type="dxa"/>
            <w:shd w:val="clear" w:color="000000" w:fill="FFFF00"/>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-0.68%</w:t>
            </w:r>
          </w:p>
        </w:tc>
      </w:tr>
      <w:tr w:rsidR="00DF459B" w:rsidRPr="00DF459B" w:rsidTr="00DF459B">
        <w:trPr>
          <w:trHeight w:val="270"/>
          <w:jc w:val="center"/>
        </w:trPr>
        <w:tc>
          <w:tcPr>
            <w:tcW w:w="4490" w:type="dxa"/>
            <w:shd w:val="clear" w:color="auto" w:fill="auto"/>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内陆运输业</w:t>
            </w:r>
          </w:p>
        </w:tc>
        <w:tc>
          <w:tcPr>
            <w:tcW w:w="1080" w:type="dxa"/>
            <w:shd w:val="clear" w:color="auto" w:fill="auto"/>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-0.66%</w:t>
            </w:r>
          </w:p>
        </w:tc>
      </w:tr>
      <w:tr w:rsidR="00DF459B" w:rsidRPr="00DF459B" w:rsidTr="00DF459B">
        <w:trPr>
          <w:trHeight w:val="270"/>
          <w:jc w:val="center"/>
        </w:trPr>
        <w:tc>
          <w:tcPr>
            <w:tcW w:w="4490" w:type="dxa"/>
            <w:shd w:val="clear" w:color="000000" w:fill="FFFF00"/>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其他制造业（含回收利用）</w:t>
            </w:r>
          </w:p>
        </w:tc>
        <w:tc>
          <w:tcPr>
            <w:tcW w:w="1080" w:type="dxa"/>
            <w:shd w:val="clear" w:color="000000" w:fill="FFFF00"/>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-0.65%</w:t>
            </w:r>
          </w:p>
        </w:tc>
      </w:tr>
      <w:tr w:rsidR="00DF459B" w:rsidRPr="00DF459B" w:rsidTr="00DF459B">
        <w:trPr>
          <w:trHeight w:val="270"/>
          <w:jc w:val="center"/>
        </w:trPr>
        <w:tc>
          <w:tcPr>
            <w:tcW w:w="4490" w:type="dxa"/>
            <w:shd w:val="clear" w:color="auto" w:fill="auto"/>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航空运输业</w:t>
            </w:r>
          </w:p>
        </w:tc>
        <w:tc>
          <w:tcPr>
            <w:tcW w:w="1080" w:type="dxa"/>
            <w:shd w:val="clear" w:color="auto" w:fill="auto"/>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-0.62%</w:t>
            </w:r>
          </w:p>
        </w:tc>
      </w:tr>
      <w:tr w:rsidR="00DF459B" w:rsidRPr="00DF459B" w:rsidTr="00DF459B">
        <w:trPr>
          <w:trHeight w:val="270"/>
          <w:jc w:val="center"/>
        </w:trPr>
        <w:tc>
          <w:tcPr>
            <w:tcW w:w="4490" w:type="dxa"/>
            <w:shd w:val="clear" w:color="auto" w:fill="auto"/>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其他社区、社会和个人服务</w:t>
            </w:r>
          </w:p>
        </w:tc>
        <w:tc>
          <w:tcPr>
            <w:tcW w:w="1080" w:type="dxa"/>
            <w:shd w:val="clear" w:color="auto" w:fill="auto"/>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-0.54%</w:t>
            </w:r>
          </w:p>
        </w:tc>
      </w:tr>
      <w:tr w:rsidR="00DF459B" w:rsidRPr="00DF459B" w:rsidTr="00DF459B">
        <w:trPr>
          <w:trHeight w:val="270"/>
          <w:jc w:val="center"/>
        </w:trPr>
        <w:tc>
          <w:tcPr>
            <w:tcW w:w="4490" w:type="dxa"/>
            <w:shd w:val="clear" w:color="000000" w:fill="FFFF00"/>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采矿和采石业</w:t>
            </w:r>
          </w:p>
        </w:tc>
        <w:tc>
          <w:tcPr>
            <w:tcW w:w="1080" w:type="dxa"/>
            <w:shd w:val="clear" w:color="000000" w:fill="FFFF00"/>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-0.47%</w:t>
            </w:r>
          </w:p>
        </w:tc>
      </w:tr>
      <w:tr w:rsidR="00DF459B" w:rsidRPr="00DF459B" w:rsidTr="00DF459B">
        <w:trPr>
          <w:trHeight w:val="270"/>
          <w:jc w:val="center"/>
        </w:trPr>
        <w:tc>
          <w:tcPr>
            <w:tcW w:w="4490" w:type="dxa"/>
            <w:shd w:val="clear" w:color="000000" w:fill="FFFF00"/>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其他非金属矿物制品业</w:t>
            </w:r>
          </w:p>
        </w:tc>
        <w:tc>
          <w:tcPr>
            <w:tcW w:w="1080" w:type="dxa"/>
            <w:shd w:val="clear" w:color="000000" w:fill="FFFF00"/>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-0.46%</w:t>
            </w:r>
          </w:p>
        </w:tc>
      </w:tr>
      <w:tr w:rsidR="00DF459B" w:rsidRPr="00DF459B" w:rsidTr="00DF459B">
        <w:trPr>
          <w:trHeight w:val="270"/>
          <w:jc w:val="center"/>
        </w:trPr>
        <w:tc>
          <w:tcPr>
            <w:tcW w:w="4490" w:type="dxa"/>
            <w:shd w:val="clear" w:color="auto" w:fill="auto"/>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租赁和商务服务业</w:t>
            </w:r>
          </w:p>
        </w:tc>
        <w:tc>
          <w:tcPr>
            <w:tcW w:w="1080" w:type="dxa"/>
            <w:shd w:val="clear" w:color="auto" w:fill="auto"/>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-0.42%</w:t>
            </w:r>
          </w:p>
        </w:tc>
      </w:tr>
      <w:tr w:rsidR="00DF459B" w:rsidRPr="00DF459B" w:rsidTr="00DF459B">
        <w:trPr>
          <w:trHeight w:val="270"/>
          <w:jc w:val="center"/>
        </w:trPr>
        <w:tc>
          <w:tcPr>
            <w:tcW w:w="4490" w:type="dxa"/>
            <w:shd w:val="clear" w:color="000000" w:fill="FFFF00"/>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设备制造业</w:t>
            </w:r>
          </w:p>
        </w:tc>
        <w:tc>
          <w:tcPr>
            <w:tcW w:w="1080" w:type="dxa"/>
            <w:shd w:val="clear" w:color="000000" w:fill="FFFF00"/>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-0.42%</w:t>
            </w:r>
          </w:p>
        </w:tc>
      </w:tr>
      <w:tr w:rsidR="00DF459B" w:rsidRPr="00DF459B" w:rsidTr="00DF459B">
        <w:trPr>
          <w:trHeight w:val="270"/>
          <w:jc w:val="center"/>
        </w:trPr>
        <w:tc>
          <w:tcPr>
            <w:tcW w:w="4490" w:type="dxa"/>
            <w:shd w:val="clear" w:color="auto" w:fill="auto"/>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卫生和社会工作</w:t>
            </w:r>
          </w:p>
        </w:tc>
        <w:tc>
          <w:tcPr>
            <w:tcW w:w="1080" w:type="dxa"/>
            <w:shd w:val="clear" w:color="auto" w:fill="auto"/>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-0.39%</w:t>
            </w:r>
          </w:p>
        </w:tc>
      </w:tr>
      <w:tr w:rsidR="00DF459B" w:rsidRPr="00DF459B" w:rsidTr="00DF459B">
        <w:trPr>
          <w:trHeight w:val="270"/>
          <w:jc w:val="center"/>
        </w:trPr>
        <w:tc>
          <w:tcPr>
            <w:tcW w:w="4490" w:type="dxa"/>
            <w:shd w:val="clear" w:color="auto" w:fill="auto"/>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房地产业</w:t>
            </w:r>
          </w:p>
        </w:tc>
        <w:tc>
          <w:tcPr>
            <w:tcW w:w="1080" w:type="dxa"/>
            <w:shd w:val="clear" w:color="auto" w:fill="auto"/>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-0.30%</w:t>
            </w:r>
          </w:p>
        </w:tc>
      </w:tr>
      <w:tr w:rsidR="00DF459B" w:rsidRPr="00DF459B" w:rsidTr="00DF459B">
        <w:trPr>
          <w:trHeight w:val="270"/>
          <w:jc w:val="center"/>
        </w:trPr>
        <w:tc>
          <w:tcPr>
            <w:tcW w:w="4490" w:type="dxa"/>
            <w:shd w:val="clear" w:color="auto" w:fill="auto"/>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邮政通讯业</w:t>
            </w:r>
          </w:p>
        </w:tc>
        <w:tc>
          <w:tcPr>
            <w:tcW w:w="1080" w:type="dxa"/>
            <w:shd w:val="clear" w:color="auto" w:fill="auto"/>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-0.29%</w:t>
            </w:r>
          </w:p>
        </w:tc>
      </w:tr>
      <w:tr w:rsidR="00DF459B" w:rsidRPr="00DF459B" w:rsidTr="00DF459B">
        <w:trPr>
          <w:trHeight w:val="270"/>
          <w:jc w:val="center"/>
        </w:trPr>
        <w:tc>
          <w:tcPr>
            <w:tcW w:w="4490" w:type="dxa"/>
            <w:shd w:val="clear" w:color="auto" w:fill="auto"/>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水路运输业</w:t>
            </w:r>
          </w:p>
        </w:tc>
        <w:tc>
          <w:tcPr>
            <w:tcW w:w="1080" w:type="dxa"/>
            <w:shd w:val="clear" w:color="auto" w:fill="auto"/>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-0.28%</w:t>
            </w:r>
          </w:p>
        </w:tc>
      </w:tr>
      <w:tr w:rsidR="00DF459B" w:rsidRPr="00DF459B" w:rsidTr="00DF459B">
        <w:trPr>
          <w:trHeight w:val="270"/>
          <w:jc w:val="center"/>
        </w:trPr>
        <w:tc>
          <w:tcPr>
            <w:tcW w:w="4490" w:type="dxa"/>
            <w:shd w:val="clear" w:color="auto" w:fill="auto"/>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零售贸易（除了汽车和摩托车）,家用商品修理</w:t>
            </w:r>
          </w:p>
        </w:tc>
        <w:tc>
          <w:tcPr>
            <w:tcW w:w="1080" w:type="dxa"/>
            <w:shd w:val="clear" w:color="auto" w:fill="auto"/>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-0.16%</w:t>
            </w:r>
          </w:p>
        </w:tc>
      </w:tr>
      <w:tr w:rsidR="00DF459B" w:rsidRPr="00DF459B" w:rsidTr="00DF459B">
        <w:trPr>
          <w:trHeight w:val="270"/>
          <w:jc w:val="center"/>
        </w:trPr>
        <w:tc>
          <w:tcPr>
            <w:tcW w:w="4490" w:type="dxa"/>
            <w:shd w:val="clear" w:color="auto" w:fill="auto"/>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其他支持和辅助运输业；旅行社活动</w:t>
            </w:r>
          </w:p>
        </w:tc>
        <w:tc>
          <w:tcPr>
            <w:tcW w:w="1080" w:type="dxa"/>
            <w:shd w:val="clear" w:color="auto" w:fill="auto"/>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-0.14%</w:t>
            </w:r>
          </w:p>
        </w:tc>
      </w:tr>
      <w:tr w:rsidR="00DF459B" w:rsidRPr="00DF459B" w:rsidTr="00DF459B">
        <w:trPr>
          <w:trHeight w:val="270"/>
          <w:jc w:val="center"/>
        </w:trPr>
        <w:tc>
          <w:tcPr>
            <w:tcW w:w="4490" w:type="dxa"/>
            <w:shd w:val="clear" w:color="000000" w:fill="FFFF00"/>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建筑业</w:t>
            </w:r>
          </w:p>
        </w:tc>
        <w:tc>
          <w:tcPr>
            <w:tcW w:w="1080" w:type="dxa"/>
            <w:shd w:val="clear" w:color="000000" w:fill="FFFF00"/>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0.25%</w:t>
            </w:r>
          </w:p>
        </w:tc>
      </w:tr>
      <w:tr w:rsidR="00DF459B" w:rsidRPr="00DF459B" w:rsidTr="00DF459B">
        <w:trPr>
          <w:trHeight w:val="270"/>
          <w:jc w:val="center"/>
        </w:trPr>
        <w:tc>
          <w:tcPr>
            <w:tcW w:w="4490" w:type="dxa"/>
            <w:shd w:val="clear" w:color="000000" w:fill="FFFF00"/>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皮革,皮革制品和鞋业</w:t>
            </w:r>
          </w:p>
        </w:tc>
        <w:tc>
          <w:tcPr>
            <w:tcW w:w="1080" w:type="dxa"/>
            <w:shd w:val="clear" w:color="000000" w:fill="FFFF00"/>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0.30%</w:t>
            </w:r>
          </w:p>
        </w:tc>
      </w:tr>
      <w:tr w:rsidR="00DF459B" w:rsidRPr="00DF459B" w:rsidTr="00DF459B">
        <w:trPr>
          <w:trHeight w:val="270"/>
          <w:jc w:val="center"/>
        </w:trPr>
        <w:tc>
          <w:tcPr>
            <w:tcW w:w="4490" w:type="dxa"/>
            <w:shd w:val="clear" w:color="auto" w:fill="auto"/>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教育</w:t>
            </w:r>
          </w:p>
        </w:tc>
        <w:tc>
          <w:tcPr>
            <w:tcW w:w="1080" w:type="dxa"/>
            <w:shd w:val="clear" w:color="auto" w:fill="auto"/>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0.65%</w:t>
            </w:r>
          </w:p>
        </w:tc>
      </w:tr>
      <w:tr w:rsidR="00DF459B" w:rsidRPr="00DF459B" w:rsidTr="00DF459B">
        <w:trPr>
          <w:trHeight w:val="270"/>
          <w:jc w:val="center"/>
        </w:trPr>
        <w:tc>
          <w:tcPr>
            <w:tcW w:w="4490" w:type="dxa"/>
            <w:shd w:val="clear" w:color="000000" w:fill="FFFF00"/>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纺织材料和纺织制品业</w:t>
            </w:r>
          </w:p>
        </w:tc>
        <w:tc>
          <w:tcPr>
            <w:tcW w:w="1080" w:type="dxa"/>
            <w:shd w:val="clear" w:color="000000" w:fill="FFFF00"/>
            <w:noWrap/>
            <w:vAlign w:val="center"/>
            <w:hideMark/>
          </w:tcPr>
          <w:p w:rsidR="00DF459B" w:rsidRPr="00DF459B" w:rsidRDefault="00DF459B" w:rsidP="00DF459B">
            <w:pPr>
              <w:widowControl/>
              <w:jc w:val="center"/>
              <w:rPr>
                <w:rFonts w:ascii="宋体" w:eastAsia="宋体" w:hAnsi="宋体" w:cs="宋体"/>
                <w:color w:val="000000"/>
                <w:kern w:val="0"/>
                <w:szCs w:val="21"/>
              </w:rPr>
            </w:pPr>
            <w:r w:rsidRPr="00DF459B">
              <w:rPr>
                <w:rFonts w:ascii="宋体" w:eastAsia="宋体" w:hAnsi="宋体" w:cs="宋体" w:hint="eastAsia"/>
                <w:color w:val="000000"/>
                <w:kern w:val="0"/>
                <w:szCs w:val="21"/>
              </w:rPr>
              <w:t>0.74%</w:t>
            </w:r>
          </w:p>
        </w:tc>
      </w:tr>
    </w:tbl>
    <w:p w:rsidR="004517A9" w:rsidRDefault="004517A9">
      <w:pPr>
        <w:spacing w:line="360" w:lineRule="auto"/>
        <w:jc w:val="center"/>
        <w:rPr>
          <w:rFonts w:ascii="Times New Roman" w:eastAsia="宋体" w:hAnsi="Times New Roman" w:cs="Times New Roman"/>
          <w:sz w:val="24"/>
          <w:szCs w:val="24"/>
        </w:rPr>
      </w:pPr>
    </w:p>
    <w:sectPr w:rsidR="004517A9" w:rsidSect="004517A9">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ACC" w:rsidRDefault="00C87ACC" w:rsidP="004517A9">
      <w:r>
        <w:separator/>
      </w:r>
    </w:p>
  </w:endnote>
  <w:endnote w:type="continuationSeparator" w:id="0">
    <w:p w:rsidR="00C87ACC" w:rsidRDefault="00C87ACC" w:rsidP="00451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ACC" w:rsidRDefault="00C87ACC" w:rsidP="004517A9">
      <w:r>
        <w:separator/>
      </w:r>
    </w:p>
  </w:footnote>
  <w:footnote w:type="continuationSeparator" w:id="0">
    <w:p w:rsidR="00C87ACC" w:rsidRDefault="00C87ACC" w:rsidP="004517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7A9" w:rsidRDefault="001C1298">
    <w:pPr>
      <w:pStyle w:val="a6"/>
    </w:pPr>
    <w:r>
      <w:pict>
        <v:rect id="_x0000_s1026" style="position:absolute;left:0;text-align:left;margin-left:90pt;margin-top:37.85pt;width:468.5pt;height:21.3pt;z-index:-251658752;mso-width-percent:1000;mso-height-percent:27;mso-wrap-distance-left:9.35pt;mso-wrap-distance-right:9.35pt;mso-position-horizontal-relative:page;mso-position-vertical-relative:page;mso-width-percent:1000;mso-height-percent:27;mso-width-relative:margin;v-text-anchor:middle" o:gfxdata="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8tP9iNUAAAAE&#10;AQAADwAAAAAAAAABACAAAAAiAAAAZHJzL2Rvd25yZXYueG1sUEsBAhQAFAAAAAgAh07iQBlJFBlY&#10;AgAAjAQAAA4AAAAAAAAAAQAgAAAAJAEAAGRycy9lMm9Eb2MueG1sUEsFBgAAAAAGAAYAWQEAAO4F&#10;AAAAAA==&#10;" o:allowoverlap="f" fillcolor="#4472c4 [3204]" stroked="f" strokeweight="1pt">
          <v:textbox style="mso-fit-shape-to-text:t">
            <w:txbxContent>
              <w:sdt>
                <w:sdtPr>
                  <w:rPr>
                    <w:rFonts w:ascii="黑体" w:eastAsia="黑体" w:hAnsi="黑体" w:cs="Times New Roman"/>
                    <w:b/>
                    <w:caps/>
                    <w:color w:val="FFFFFF" w:themeColor="background1"/>
                    <w:sz w:val="28"/>
                    <w:szCs w:val="28"/>
                  </w:rPr>
                  <w:alias w:val="标题"/>
                  <w:id w:val="1189017394"/>
                  <w:text/>
                </w:sdtPr>
                <w:sdtContent>
                  <w:p w:rsidR="004517A9" w:rsidRDefault="00173D2C">
                    <w:pPr>
                      <w:pStyle w:val="a6"/>
                      <w:jc w:val="right"/>
                      <w:rPr>
                        <w:caps/>
                        <w:color w:val="FFFFFF" w:themeColor="background1"/>
                      </w:rPr>
                    </w:pPr>
                    <w:r>
                      <w:rPr>
                        <w:rFonts w:ascii="黑体" w:eastAsia="黑体" w:hAnsi="黑体" w:cs="Times New Roman"/>
                        <w:b/>
                        <w:caps/>
                        <w:color w:val="FFFFFF" w:themeColor="background1"/>
                        <w:sz w:val="28"/>
                        <w:szCs w:val="28"/>
                      </w:rPr>
                      <w:t>IWEP-HEER数据月报</w:t>
                    </w:r>
                  </w:p>
                </w:sdtContent>
              </w:sdt>
            </w:txbxContent>
          </v:textbox>
          <w10:wrap type="square" anchorx="page" anchory="page"/>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20555"/>
    <w:rsid w:val="00030BDE"/>
    <w:rsid w:val="0007302D"/>
    <w:rsid w:val="000E47D5"/>
    <w:rsid w:val="000E6CCC"/>
    <w:rsid w:val="000F7043"/>
    <w:rsid w:val="0013466D"/>
    <w:rsid w:val="001657EF"/>
    <w:rsid w:val="00173D2C"/>
    <w:rsid w:val="001A5BBB"/>
    <w:rsid w:val="001C1298"/>
    <w:rsid w:val="002034D7"/>
    <w:rsid w:val="002041B5"/>
    <w:rsid w:val="00210905"/>
    <w:rsid w:val="002E1669"/>
    <w:rsid w:val="0030403D"/>
    <w:rsid w:val="0033361A"/>
    <w:rsid w:val="0033543A"/>
    <w:rsid w:val="00364641"/>
    <w:rsid w:val="003A7DF6"/>
    <w:rsid w:val="003B0439"/>
    <w:rsid w:val="003E40C8"/>
    <w:rsid w:val="00420555"/>
    <w:rsid w:val="004517A9"/>
    <w:rsid w:val="00484922"/>
    <w:rsid w:val="004F5D81"/>
    <w:rsid w:val="00506398"/>
    <w:rsid w:val="00510CF4"/>
    <w:rsid w:val="00581E14"/>
    <w:rsid w:val="00590700"/>
    <w:rsid w:val="005B7DA5"/>
    <w:rsid w:val="005F1EFD"/>
    <w:rsid w:val="00626C75"/>
    <w:rsid w:val="0063138E"/>
    <w:rsid w:val="0066223B"/>
    <w:rsid w:val="0066259E"/>
    <w:rsid w:val="00666767"/>
    <w:rsid w:val="00673ABE"/>
    <w:rsid w:val="00696DBB"/>
    <w:rsid w:val="006B6952"/>
    <w:rsid w:val="006C3B74"/>
    <w:rsid w:val="006E0C35"/>
    <w:rsid w:val="0070118B"/>
    <w:rsid w:val="0072145D"/>
    <w:rsid w:val="00735A5F"/>
    <w:rsid w:val="0077323E"/>
    <w:rsid w:val="007C10A0"/>
    <w:rsid w:val="007C1E64"/>
    <w:rsid w:val="007E6589"/>
    <w:rsid w:val="00884DA6"/>
    <w:rsid w:val="00891C84"/>
    <w:rsid w:val="008B2ABC"/>
    <w:rsid w:val="00921727"/>
    <w:rsid w:val="00930401"/>
    <w:rsid w:val="00934FD1"/>
    <w:rsid w:val="00971781"/>
    <w:rsid w:val="00973962"/>
    <w:rsid w:val="009A228C"/>
    <w:rsid w:val="009F1DB0"/>
    <w:rsid w:val="00A522C7"/>
    <w:rsid w:val="00A62132"/>
    <w:rsid w:val="00A62A9C"/>
    <w:rsid w:val="00A76629"/>
    <w:rsid w:val="00A768B8"/>
    <w:rsid w:val="00A952E7"/>
    <w:rsid w:val="00AB160F"/>
    <w:rsid w:val="00B136D3"/>
    <w:rsid w:val="00B35328"/>
    <w:rsid w:val="00B4321C"/>
    <w:rsid w:val="00C57878"/>
    <w:rsid w:val="00C87ACC"/>
    <w:rsid w:val="00C968D0"/>
    <w:rsid w:val="00CB292B"/>
    <w:rsid w:val="00CC1B60"/>
    <w:rsid w:val="00CC52EF"/>
    <w:rsid w:val="00CD328F"/>
    <w:rsid w:val="00CE77E0"/>
    <w:rsid w:val="00D44972"/>
    <w:rsid w:val="00DB1B58"/>
    <w:rsid w:val="00DF459B"/>
    <w:rsid w:val="00E25128"/>
    <w:rsid w:val="00E5333D"/>
    <w:rsid w:val="00E64D05"/>
    <w:rsid w:val="00E8756C"/>
    <w:rsid w:val="00EC5B11"/>
    <w:rsid w:val="00F16000"/>
    <w:rsid w:val="00F30C3C"/>
    <w:rsid w:val="00F92931"/>
    <w:rsid w:val="00FB13AE"/>
    <w:rsid w:val="00FB312C"/>
    <w:rsid w:val="1016162C"/>
    <w:rsid w:val="274B52E3"/>
    <w:rsid w:val="4C372485"/>
    <w:rsid w:val="565A0026"/>
    <w:rsid w:val="65EB2A13"/>
    <w:rsid w:val="664622BD"/>
    <w:rsid w:val="7BCC4B9B"/>
    <w:rsid w:val="7C1A214A"/>
    <w:rsid w:val="7DE50D2D"/>
    <w:rsid w:val="7E3F0E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7A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4517A9"/>
    <w:rPr>
      <w:rFonts w:asciiTheme="majorHAnsi" w:eastAsia="黑体" w:hAnsiTheme="majorHAnsi" w:cstheme="majorBidi"/>
      <w:sz w:val="20"/>
      <w:szCs w:val="20"/>
    </w:rPr>
  </w:style>
  <w:style w:type="paragraph" w:styleId="a4">
    <w:name w:val="Balloon Text"/>
    <w:basedOn w:val="a"/>
    <w:link w:val="Char"/>
    <w:uiPriority w:val="99"/>
    <w:semiHidden/>
    <w:unhideWhenUsed/>
    <w:qFormat/>
    <w:rsid w:val="004517A9"/>
    <w:rPr>
      <w:sz w:val="18"/>
      <w:szCs w:val="18"/>
    </w:rPr>
  </w:style>
  <w:style w:type="paragraph" w:styleId="a5">
    <w:name w:val="footer"/>
    <w:basedOn w:val="a"/>
    <w:link w:val="Char0"/>
    <w:uiPriority w:val="99"/>
    <w:unhideWhenUsed/>
    <w:qFormat/>
    <w:rsid w:val="004517A9"/>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4517A9"/>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sid w:val="004517A9"/>
    <w:rPr>
      <w:color w:val="0563C1" w:themeColor="hyperlink"/>
      <w:u w:val="single"/>
    </w:rPr>
  </w:style>
  <w:style w:type="character" w:customStyle="1" w:styleId="Char1">
    <w:name w:val="页眉 Char"/>
    <w:basedOn w:val="a0"/>
    <w:link w:val="a6"/>
    <w:uiPriority w:val="99"/>
    <w:qFormat/>
    <w:rsid w:val="004517A9"/>
    <w:rPr>
      <w:sz w:val="18"/>
      <w:szCs w:val="18"/>
    </w:rPr>
  </w:style>
  <w:style w:type="character" w:customStyle="1" w:styleId="Char0">
    <w:name w:val="页脚 Char"/>
    <w:basedOn w:val="a0"/>
    <w:link w:val="a5"/>
    <w:uiPriority w:val="99"/>
    <w:qFormat/>
    <w:rsid w:val="004517A9"/>
    <w:rPr>
      <w:sz w:val="18"/>
      <w:szCs w:val="18"/>
    </w:rPr>
  </w:style>
  <w:style w:type="paragraph" w:styleId="a8">
    <w:name w:val="List Paragraph"/>
    <w:basedOn w:val="a"/>
    <w:uiPriority w:val="34"/>
    <w:qFormat/>
    <w:rsid w:val="004517A9"/>
    <w:pPr>
      <w:ind w:firstLineChars="200" w:firstLine="420"/>
    </w:pPr>
  </w:style>
  <w:style w:type="character" w:customStyle="1" w:styleId="Char">
    <w:name w:val="批注框文本 Char"/>
    <w:basedOn w:val="a0"/>
    <w:link w:val="a4"/>
    <w:uiPriority w:val="99"/>
    <w:semiHidden/>
    <w:qFormat/>
    <w:rsid w:val="004517A9"/>
    <w:rPr>
      <w:sz w:val="18"/>
      <w:szCs w:val="18"/>
    </w:rPr>
  </w:style>
  <w:style w:type="character" w:customStyle="1" w:styleId="Mention">
    <w:name w:val="Mention"/>
    <w:basedOn w:val="a0"/>
    <w:uiPriority w:val="99"/>
    <w:semiHidden/>
    <w:unhideWhenUsed/>
    <w:qFormat/>
    <w:rsid w:val="004517A9"/>
    <w:rPr>
      <w:color w:val="2B579A"/>
      <w:shd w:val="clear" w:color="auto" w:fill="E6E6E6"/>
    </w:rPr>
  </w:style>
</w:styles>
</file>

<file path=word/webSettings.xml><?xml version="1.0" encoding="utf-8"?>
<w:webSettings xmlns:r="http://schemas.openxmlformats.org/officeDocument/2006/relationships" xmlns:w="http://schemas.openxmlformats.org/wordprocessingml/2006/main">
  <w:divs>
    <w:div w:id="1443300029">
      <w:bodyDiv w:val="1"/>
      <w:marLeft w:val="0"/>
      <w:marRight w:val="0"/>
      <w:marTop w:val="0"/>
      <w:marBottom w:val="0"/>
      <w:divBdr>
        <w:top w:val="none" w:sz="0" w:space="0" w:color="auto"/>
        <w:left w:val="none" w:sz="0" w:space="0" w:color="auto"/>
        <w:bottom w:val="none" w:sz="0" w:space="0" w:color="auto"/>
        <w:right w:val="none" w:sz="0" w:space="0" w:color="auto"/>
      </w:divBdr>
    </w:div>
    <w:div w:id="1602028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wep.org.cn/iwephe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B45A6F-3465-4CD0-9BB4-B6BCBD89C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363</Words>
  <Characters>2075</Characters>
  <Application>Microsoft Office Word</Application>
  <DocSecurity>0</DocSecurity>
  <Lines>17</Lines>
  <Paragraphs>4</Paragraphs>
  <ScaleCrop>false</ScaleCrop>
  <Company>微软中国</Company>
  <LinksUpToDate>false</LinksUpToDate>
  <CharactersWithSpaces>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IWEP-HEER数据月报</dc:title>
  <dc:creator>Panpan Yang</dc:creator>
  <cp:lastModifiedBy>微软用户</cp:lastModifiedBy>
  <cp:revision>7</cp:revision>
  <dcterms:created xsi:type="dcterms:W3CDTF">2020-03-29T04:11:00Z</dcterms:created>
  <dcterms:modified xsi:type="dcterms:W3CDTF">2020-03-30T00:47:00Z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