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省级层面</w:t>
      </w:r>
      <w:r>
        <w:rPr>
          <w:rFonts w:ascii="Times New Roman" w:hAnsi="Times New Roman" w:eastAsia="宋体" w:cs="Times New Roman"/>
          <w:b/>
          <w:sz w:val="30"/>
          <w:szCs w:val="30"/>
        </w:rPr>
        <w:t>人民币有效汇率数据月报（201</w:t>
      </w:r>
      <w:r>
        <w:rPr>
          <w:rFonts w:hint="eastAsia" w:ascii="Times New Roman" w:hAnsi="Times New Roman" w:eastAsia="宋体" w:cs="Times New Roman"/>
          <w:b/>
          <w:sz w:val="30"/>
          <w:szCs w:val="30"/>
          <w:lang w:val="en-US" w:eastAsia="zh-CN"/>
        </w:rPr>
        <w:t>9</w:t>
      </w:r>
      <w:r>
        <w:rPr>
          <w:rFonts w:ascii="Times New Roman" w:hAnsi="Times New Roman" w:eastAsia="宋体" w:cs="Times New Roman"/>
          <w:b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b/>
          <w:sz w:val="30"/>
          <w:szCs w:val="30"/>
          <w:lang w:val="en-US" w:eastAsia="zh-CN"/>
        </w:rPr>
        <w:t>5</w:t>
      </w:r>
      <w:r>
        <w:rPr>
          <w:rFonts w:ascii="Times New Roman" w:hAnsi="Times New Roman" w:eastAsia="宋体" w:cs="Times New Roman"/>
          <w:b/>
          <w:sz w:val="30"/>
          <w:szCs w:val="30"/>
        </w:rPr>
        <w:t>月）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0"/>
          <w:szCs w:val="30"/>
        </w:rPr>
      </w:pP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1.</w:t>
      </w:r>
      <w:r>
        <w:rPr>
          <w:rFonts w:ascii="Times New Roman" w:hAnsi="Times New Roman" w:eastAsia="宋体" w:cs="Times New Roman"/>
          <w:b/>
          <w:sz w:val="24"/>
          <w:szCs w:val="24"/>
        </w:rPr>
        <w:t>201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月，省级层面人民币有效汇率较上月环比平均贬值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1.05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%，较上年同比平均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升值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1.11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%</w:t>
      </w:r>
      <w:r>
        <w:rPr>
          <w:rStyle w:val="9"/>
          <w:rFonts w:ascii="Times New Roman" w:hAnsi="Times New Roman" w:eastAsia="宋体" w:cs="Times New Roman"/>
          <w:b/>
          <w:sz w:val="24"/>
          <w:szCs w:val="24"/>
        </w:rPr>
        <w:footnoteReference w:id="0"/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（图1）。</w:t>
      </w:r>
      <w:r>
        <w:rPr>
          <w:rFonts w:ascii="Times New Roman" w:hAnsi="Times New Roman" w:eastAsia="宋体" w:cs="Times New Roman"/>
          <w:sz w:val="24"/>
          <w:szCs w:val="24"/>
        </w:rPr>
        <w:t>同一时期，</w:t>
      </w:r>
      <w:r>
        <w:rPr>
          <w:rFonts w:hint="eastAsia" w:ascii="Times New Roman" w:hAnsi="Times New Roman" w:eastAsia="宋体" w:cs="Times New Roman"/>
          <w:sz w:val="24"/>
          <w:szCs w:val="24"/>
        </w:rPr>
        <w:t>作为参考的</w:t>
      </w:r>
      <w:r>
        <w:rPr>
          <w:rFonts w:ascii="Times New Roman" w:hAnsi="Times New Roman" w:eastAsia="宋体" w:cs="Times New Roman"/>
          <w:sz w:val="24"/>
          <w:szCs w:val="24"/>
        </w:rPr>
        <w:t>BIS人民币名义有效汇率上月环比</w:t>
      </w:r>
      <w:r>
        <w:rPr>
          <w:rFonts w:hint="eastAsia" w:ascii="Times New Roman" w:hAnsi="Times New Roman" w:eastAsia="宋体" w:cs="Times New Roman"/>
          <w:sz w:val="24"/>
          <w:szCs w:val="24"/>
        </w:rPr>
        <w:t>贬值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1.33</w:t>
      </w:r>
      <w:r>
        <w:rPr>
          <w:rFonts w:ascii="Times New Roman" w:hAnsi="Times New Roman" w:eastAsia="宋体" w:cs="Times New Roman"/>
          <w:sz w:val="24"/>
          <w:szCs w:val="24"/>
        </w:rPr>
        <w:t>%，上年同比</w:t>
      </w:r>
      <w:r>
        <w:rPr>
          <w:rFonts w:hint="eastAsia" w:ascii="Times New Roman" w:hAnsi="Times New Roman" w:eastAsia="宋体" w:cs="Times New Roman"/>
          <w:sz w:val="24"/>
          <w:szCs w:val="24"/>
        </w:rPr>
        <w:t>贬值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3.33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；省级层面人民币有效汇率上月环比升贬值态势与</w:t>
      </w:r>
      <w:r>
        <w:rPr>
          <w:rFonts w:ascii="Times New Roman" w:hAnsi="Times New Roman" w:eastAsia="宋体" w:cs="Times New Roman"/>
          <w:sz w:val="24"/>
          <w:szCs w:val="24"/>
        </w:rPr>
        <w:t>BIS人民币名义有效汇率</w:t>
      </w:r>
      <w:r>
        <w:rPr>
          <w:rFonts w:hint="eastAsia" w:ascii="Times New Roman" w:hAnsi="Times New Roman" w:eastAsia="宋体" w:cs="Times New Roman"/>
          <w:sz w:val="24"/>
          <w:szCs w:val="24"/>
        </w:rPr>
        <w:t>一致；同比趋势相反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 xml:space="preserve">2.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因贸易伙伴不同，各省人民币有效汇率走势存在差异。上月环比数据来看，各省升贬值幅度差距最大仅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1.35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个百分点。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</w:rPr>
        <w:t>个省份人民币有效汇率上月环比贬值大于BIS人民币名义有效汇率。贬值幅度最高的三个省份分别为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吉林、海南和黑龙江</w:t>
      </w:r>
      <w:r>
        <w:rPr>
          <w:rFonts w:hint="eastAsia" w:ascii="Times New Roman" w:hAnsi="Times New Roman" w:eastAsia="宋体" w:cs="Times New Roman"/>
          <w:sz w:val="24"/>
          <w:szCs w:val="24"/>
        </w:rPr>
        <w:t>，分别贬值了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1.50</w:t>
      </w:r>
      <w:r>
        <w:rPr>
          <w:rFonts w:hint="eastAsia" w:ascii="Times New Roman" w:hAnsi="Times New Roman" w:eastAsia="宋体" w:cs="Times New Roman"/>
          <w:sz w:val="24"/>
          <w:szCs w:val="24"/>
        </w:rPr>
        <w:t>%、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1.48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1.46</w:t>
      </w:r>
      <w:r>
        <w:rPr>
          <w:rFonts w:hint="eastAsia" w:ascii="Times New Roman" w:hAnsi="Times New Roman" w:eastAsia="宋体" w:cs="Times New Roman"/>
          <w:sz w:val="24"/>
          <w:szCs w:val="24"/>
        </w:rPr>
        <w:t>%；贬值幅度最低的三个省份分别为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河北、甘肃和北京</w:t>
      </w:r>
      <w:r>
        <w:rPr>
          <w:rFonts w:hint="eastAsia" w:ascii="Times New Roman" w:hAnsi="Times New Roman" w:eastAsia="宋体" w:cs="Times New Roman"/>
          <w:sz w:val="24"/>
          <w:szCs w:val="24"/>
        </w:rPr>
        <w:t>，分别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贬值</w:t>
      </w:r>
      <w:r>
        <w:rPr>
          <w:rFonts w:hint="eastAsia" w:ascii="Times New Roman" w:hAnsi="Times New Roman" w:eastAsia="宋体" w:cs="Times New Roman"/>
          <w:sz w:val="24"/>
          <w:szCs w:val="24"/>
        </w:rPr>
        <w:t>了0.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66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、0.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40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和</w:t>
      </w:r>
      <w:r>
        <w:rPr>
          <w:rFonts w:ascii="Times New Roman" w:hAnsi="Times New Roman" w:eastAsia="宋体" w:cs="Times New Roman"/>
          <w:sz w:val="24"/>
          <w:szCs w:val="24"/>
        </w:rPr>
        <w:t>0.</w:t>
      </w:r>
      <w:r>
        <w:rPr>
          <w:rFonts w:hint="eastAsia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3.上年同比数据来看，各省升贬值幅度差距最大可达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38.06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个百分点，18个省份的升值幅度与BIS人民币名义有效汇率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贬值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态势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一致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但贬值幅度均小于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BIS</w:t>
      </w:r>
      <w:r>
        <w:rPr>
          <w:rFonts w:hint="eastAsia" w:ascii="Times New Roman" w:hAnsi="Times New Roman" w:eastAsia="宋体" w:cs="Times New Roman"/>
          <w:sz w:val="24"/>
          <w:szCs w:val="24"/>
        </w:rPr>
        <w:t>。升值幅度最高的三个省份分别为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北京、辽宁和安徽</w:t>
      </w:r>
      <w:r>
        <w:rPr>
          <w:rFonts w:hint="eastAsia" w:ascii="Times New Roman" w:hAnsi="Times New Roman" w:eastAsia="宋体" w:cs="Times New Roman"/>
          <w:sz w:val="24"/>
          <w:szCs w:val="24"/>
        </w:rPr>
        <w:t>，分别升值了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34.75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7.42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6.52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贬值</w:t>
      </w:r>
      <w:r>
        <w:rPr>
          <w:rFonts w:hint="eastAsia" w:ascii="Times New Roman" w:hAnsi="Times New Roman" w:eastAsia="宋体" w:cs="Times New Roman"/>
          <w:sz w:val="24"/>
          <w:szCs w:val="24"/>
        </w:rPr>
        <w:t>幅度最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高</w:t>
      </w:r>
      <w:r>
        <w:rPr>
          <w:rFonts w:hint="eastAsia" w:ascii="Times New Roman" w:hAnsi="Times New Roman" w:eastAsia="宋体" w:cs="Times New Roman"/>
          <w:sz w:val="24"/>
          <w:szCs w:val="24"/>
        </w:rPr>
        <w:t>的三个省份分别为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青海、云南和海南</w:t>
      </w:r>
      <w:r>
        <w:rPr>
          <w:rFonts w:hint="eastAsia" w:ascii="Times New Roman" w:hAnsi="Times New Roman" w:eastAsia="宋体" w:cs="Times New Roman"/>
          <w:sz w:val="24"/>
          <w:szCs w:val="24"/>
        </w:rPr>
        <w:t>，分别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贬值</w:t>
      </w:r>
      <w:r>
        <w:rPr>
          <w:rFonts w:hint="eastAsia" w:ascii="Times New Roman" w:hAnsi="Times New Roman" w:eastAsia="宋体" w:cs="Times New Roman"/>
          <w:sz w:val="24"/>
          <w:szCs w:val="24"/>
        </w:rPr>
        <w:t>了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2.87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2.99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3.31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2"/>
        <w:keepNext/>
        <w:jc w:val="center"/>
        <w:rPr>
          <w:rFonts w:hint="eastAsia" w:ascii="黑体" w:hAnsi="黑体" w:cs="Times New Roman"/>
        </w:rPr>
      </w:pPr>
      <w:r>
        <w:rPr>
          <w:rFonts w:ascii="黑体" w:hAnsi="黑体" w:cs="Times New Roman"/>
        </w:rPr>
        <w:t xml:space="preserve">图 </w:t>
      </w:r>
      <w:r>
        <w:rPr>
          <w:rFonts w:ascii="黑体" w:hAnsi="黑体" w:cs="Times New Roman"/>
        </w:rPr>
        <w:fldChar w:fldCharType="begin"/>
      </w:r>
      <w:r>
        <w:rPr>
          <w:rFonts w:ascii="黑体" w:hAnsi="黑体" w:cs="Times New Roman"/>
        </w:rPr>
        <w:instrText xml:space="preserve"> SEQ 图 \* ARABIC </w:instrText>
      </w:r>
      <w:r>
        <w:rPr>
          <w:rFonts w:ascii="黑体" w:hAnsi="黑体" w:cs="Times New Roman"/>
        </w:rPr>
        <w:fldChar w:fldCharType="separate"/>
      </w:r>
      <w:r>
        <w:rPr>
          <w:rFonts w:ascii="黑体" w:hAnsi="黑体" w:cs="Times New Roman"/>
        </w:rPr>
        <w:t>1</w:t>
      </w:r>
      <w:r>
        <w:rPr>
          <w:rFonts w:ascii="黑体" w:hAnsi="黑体" w:cs="Times New Roman"/>
        </w:rPr>
        <w:fldChar w:fldCharType="end"/>
      </w:r>
      <w:r>
        <w:rPr>
          <w:rFonts w:hint="eastAsia" w:ascii="黑体" w:hAnsi="黑体" w:cs="Times New Roman"/>
        </w:rPr>
        <w:t>代表性省份</w:t>
      </w:r>
      <w:r>
        <w:rPr>
          <w:rFonts w:ascii="黑体" w:hAnsi="黑体" w:cs="Times New Roman"/>
        </w:rPr>
        <w:t>人民币有效汇率</w:t>
      </w:r>
      <w:r>
        <w:rPr>
          <w:rFonts w:hint="eastAsia" w:ascii="黑体" w:hAnsi="黑体" w:cs="Times New Roman"/>
        </w:rPr>
        <w:t>指数</w:t>
      </w:r>
      <w:r>
        <w:rPr>
          <w:rFonts w:ascii="黑体" w:hAnsi="黑体" w:cs="Times New Roman"/>
        </w:rPr>
        <w:t>与传统有效汇率指数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455670"/>
            <wp:effectExtent l="0" t="0" r="3810" b="11430"/>
            <wp:docPr id="3" name="图片 3" descr="156749296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6749296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说明：上升代表升值，下降代表贬值，基期均为2010年。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数据来源：IWEP-HEER数据库，CEIC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2"/>
        <w:keepNext/>
        <w:jc w:val="center"/>
      </w:pPr>
      <w:r>
        <w:t>表</w:t>
      </w:r>
      <w:r>
        <w:fldChar w:fldCharType="begin"/>
      </w:r>
      <w:r>
        <w:instrText xml:space="preserve"> SEQ 表格 \* ARABIC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省级层面人民币有效汇率环比变动（201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月）</w:t>
      </w:r>
    </w:p>
    <w:tbl>
      <w:tblPr>
        <w:tblStyle w:val="7"/>
        <w:tblW w:w="5102" w:type="dxa"/>
        <w:jc w:val="center"/>
        <w:tblInd w:w="161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17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省份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上月环比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-1.46%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-0.86%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-0.15%</w:t>
            </w:r>
          </w:p>
        </w:tc>
      </w:tr>
    </w:tbl>
    <w:p/>
    <w:p>
      <w:pPr>
        <w:spacing w:line="360" w:lineRule="auto"/>
        <w:ind w:firstLine="42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说明：蓝色阴影为东部地区，黄色阴影为中部地区，白色为西部地区，下表同。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数据来源：IWEP-HEER数据库，作者计算，下表同。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18"/>
          <w:szCs w:val="18"/>
        </w:rPr>
      </w:pPr>
    </w:p>
    <w:p>
      <w:pPr>
        <w:pStyle w:val="2"/>
        <w:keepNext/>
        <w:jc w:val="center"/>
      </w:pPr>
      <w:r>
        <w:t>表</w:t>
      </w:r>
      <w:r>
        <w:fldChar w:fldCharType="begin"/>
      </w:r>
      <w:r>
        <w:instrText xml:space="preserve"> SEQ 表格 \* ARABIC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t>分行业基于增加值人民币有效汇率同比变动（201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月）</w:t>
      </w:r>
    </w:p>
    <w:tbl>
      <w:tblPr>
        <w:tblStyle w:val="7"/>
        <w:tblW w:w="5102" w:type="dxa"/>
        <w:jc w:val="center"/>
        <w:tblInd w:w="161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5"/>
        <w:gridCol w:w="239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省份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上年同比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-0.39%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-1.98%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-2.19%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-2.55%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-2.59%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-2.78%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-2.87%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-2.99%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-3.31%</w:t>
            </w:r>
          </w:p>
        </w:tc>
      </w:tr>
    </w:tbl>
    <w:p/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6"/>
      </w:pPr>
      <w:r>
        <w:rPr>
          <w:rStyle w:val="9"/>
        </w:rPr>
        <w:footnoteRef/>
      </w:r>
      <w:r>
        <w:rPr>
          <w:rFonts w:hint="eastAsia"/>
        </w:rPr>
        <w:t>是31个省市自治区贬值幅度的简单平均。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8745" distR="118745" simplePos="0" relativeHeight="251658240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49950" cy="270510"/>
              <wp:effectExtent l="0" t="0" r="12700" b="15240"/>
              <wp:wrapSquare wrapText="bothSides"/>
              <wp:docPr id="1" name="矩形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27051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黑体" w:hAnsi="黑体" w:eastAsia="黑体" w:cs="Times New Roman"/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alias w:val="标题"/>
                            <w:id w:val="1189017394"/>
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Fonts w:ascii="黑体" w:hAnsi="黑体" w:eastAsia="黑体" w:cs="Times New Roman"/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right"/>
                                <w:rPr>
                                  <w:cap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黑体" w:hAnsi="黑体" w:eastAsia="黑体" w:cs="Times New Roman"/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IWEP-HEER数据月报</w:t>
                              </w:r>
                            </w:p>
                          </w:sdtContent>
                        </w:sdt>
                      </w:txbxContent>
                    </wps:txbx>
                    <wps:bodyPr anchor="ctr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矩形 197" o:spid="_x0000_s1026" o:spt="1" style="position:absolute;left:0pt;margin-left:90pt;margin-top:37.85pt;height:21.3pt;width:468.5pt;mso-position-horizontal-relative:page;mso-position-vertical-relative:page;mso-wrap-distance-bottom:0pt;mso-wrap-distance-left:9.35pt;mso-wrap-distance-right:9.35pt;mso-wrap-distance-top:0pt;z-index:-251658240;v-text-anchor:middle;mso-width-relative:margin;mso-height-relative:page;mso-width-percent:1000;mso-height-percent:27;" fillcolor="#4472C4" filled="t" stroked="f" coordsize="21600,21600" o:allowoverlap="f" o:gfxdata="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y0/2I1QAAAAQBAAAPAAAAAAAAAAEAIAAAACIAAABkcnMvZG93bnJldi54bWxQSwECFAAU&#10;AAAACACHTuJADy4nrrsBAABPAwAADgAAAAAAAAABACAAAAAkAQAAZHJzL2Uyb0RvYy54bWxQSwUG&#10;AAAAAAYABgBZAQAAUQUAAAAA&#10;">
              <v:fill on="t" focussize="0,0"/>
              <v:stroke on="f" weight="1pt"/>
              <v:imagedata o:title=""/>
              <o:lock v:ext="edit" aspectratio="f"/>
              <v:textbox style="mso-fit-shape-to-text:t;">
                <w:txbxContent>
                  <w:sdt>
                    <w:sdtPr>
                      <w:rPr>
                        <w:rFonts w:ascii="黑体" w:hAnsi="黑体" w:eastAsia="黑体" w:cs="Times New Roman"/>
                        <w:b/>
                        <w:cap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alias w:val="标题"/>
                      <w:id w:val="1189017394"/>
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Fonts w:ascii="黑体" w:hAnsi="黑体" w:eastAsia="黑体" w:cs="Times New Roman"/>
                        <w:b/>
                        <w:cap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sdtEndPr>
                    <w:sdtContent>
                      <w:p>
                        <w:pPr>
                          <w:pStyle w:val="5"/>
                          <w:jc w:val="right"/>
                          <w:rPr>
                            <w:cap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黑体" w:hAnsi="黑体" w:eastAsia="黑体" w:cs="Times New Roman"/>
                            <w:b/>
                            <w:caps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IWEP-HEER数据月报</w:t>
                        </w:r>
                      </w:p>
                    </w:sdtContent>
                  </w:sdt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55"/>
    <w:rsid w:val="00030BDE"/>
    <w:rsid w:val="0007302D"/>
    <w:rsid w:val="0007710B"/>
    <w:rsid w:val="000D4FA6"/>
    <w:rsid w:val="000E6CCC"/>
    <w:rsid w:val="000F1F0E"/>
    <w:rsid w:val="001213DF"/>
    <w:rsid w:val="00130B89"/>
    <w:rsid w:val="00161977"/>
    <w:rsid w:val="001657EF"/>
    <w:rsid w:val="001A5BBB"/>
    <w:rsid w:val="002034D7"/>
    <w:rsid w:val="002041B5"/>
    <w:rsid w:val="0020546C"/>
    <w:rsid w:val="00210905"/>
    <w:rsid w:val="00281F78"/>
    <w:rsid w:val="00286A45"/>
    <w:rsid w:val="002A151B"/>
    <w:rsid w:val="002A2049"/>
    <w:rsid w:val="002E1669"/>
    <w:rsid w:val="002E2581"/>
    <w:rsid w:val="002E7E53"/>
    <w:rsid w:val="0030403D"/>
    <w:rsid w:val="0033236A"/>
    <w:rsid w:val="0033361A"/>
    <w:rsid w:val="0033543A"/>
    <w:rsid w:val="00335A68"/>
    <w:rsid w:val="00364641"/>
    <w:rsid w:val="00385853"/>
    <w:rsid w:val="00393628"/>
    <w:rsid w:val="003A7A5C"/>
    <w:rsid w:val="003B0439"/>
    <w:rsid w:val="003E40C8"/>
    <w:rsid w:val="003F4A06"/>
    <w:rsid w:val="0040238B"/>
    <w:rsid w:val="0041351A"/>
    <w:rsid w:val="00420555"/>
    <w:rsid w:val="00484922"/>
    <w:rsid w:val="004F5D81"/>
    <w:rsid w:val="00506398"/>
    <w:rsid w:val="00510CF4"/>
    <w:rsid w:val="00554186"/>
    <w:rsid w:val="00570C9C"/>
    <w:rsid w:val="00581E14"/>
    <w:rsid w:val="00586075"/>
    <w:rsid w:val="00590700"/>
    <w:rsid w:val="005B69FF"/>
    <w:rsid w:val="005B7DA5"/>
    <w:rsid w:val="005D48C7"/>
    <w:rsid w:val="005F1EFD"/>
    <w:rsid w:val="00626C75"/>
    <w:rsid w:val="0063138E"/>
    <w:rsid w:val="00654E26"/>
    <w:rsid w:val="0066223B"/>
    <w:rsid w:val="0066259E"/>
    <w:rsid w:val="00671776"/>
    <w:rsid w:val="00673ABE"/>
    <w:rsid w:val="006774A6"/>
    <w:rsid w:val="0068695A"/>
    <w:rsid w:val="00696DBB"/>
    <w:rsid w:val="006B6952"/>
    <w:rsid w:val="006C3B74"/>
    <w:rsid w:val="006E6A22"/>
    <w:rsid w:val="006F6A85"/>
    <w:rsid w:val="0070118B"/>
    <w:rsid w:val="00717627"/>
    <w:rsid w:val="0072145D"/>
    <w:rsid w:val="00735A5F"/>
    <w:rsid w:val="00751398"/>
    <w:rsid w:val="007519CE"/>
    <w:rsid w:val="0077323E"/>
    <w:rsid w:val="00792348"/>
    <w:rsid w:val="007A569D"/>
    <w:rsid w:val="007C10A0"/>
    <w:rsid w:val="007C1E64"/>
    <w:rsid w:val="007F145C"/>
    <w:rsid w:val="0081735E"/>
    <w:rsid w:val="008627E4"/>
    <w:rsid w:val="00884DA6"/>
    <w:rsid w:val="008963E1"/>
    <w:rsid w:val="00896688"/>
    <w:rsid w:val="008B2ABC"/>
    <w:rsid w:val="008F0556"/>
    <w:rsid w:val="00901E8F"/>
    <w:rsid w:val="00930401"/>
    <w:rsid w:val="00934FD1"/>
    <w:rsid w:val="009524BE"/>
    <w:rsid w:val="00971781"/>
    <w:rsid w:val="00973962"/>
    <w:rsid w:val="0098287E"/>
    <w:rsid w:val="009A228C"/>
    <w:rsid w:val="009A3F5A"/>
    <w:rsid w:val="009F1DB0"/>
    <w:rsid w:val="00A051E6"/>
    <w:rsid w:val="00A22A8A"/>
    <w:rsid w:val="00A522C7"/>
    <w:rsid w:val="00A62132"/>
    <w:rsid w:val="00A62A9C"/>
    <w:rsid w:val="00A76629"/>
    <w:rsid w:val="00A768B8"/>
    <w:rsid w:val="00A952E7"/>
    <w:rsid w:val="00A97DF0"/>
    <w:rsid w:val="00AB160F"/>
    <w:rsid w:val="00AB2674"/>
    <w:rsid w:val="00AD453A"/>
    <w:rsid w:val="00B1587B"/>
    <w:rsid w:val="00B35328"/>
    <w:rsid w:val="00B83FFB"/>
    <w:rsid w:val="00BB6FA8"/>
    <w:rsid w:val="00BC1765"/>
    <w:rsid w:val="00BC799F"/>
    <w:rsid w:val="00BD2391"/>
    <w:rsid w:val="00BD2720"/>
    <w:rsid w:val="00C23D2F"/>
    <w:rsid w:val="00C57878"/>
    <w:rsid w:val="00C701A2"/>
    <w:rsid w:val="00C968D0"/>
    <w:rsid w:val="00C96EAE"/>
    <w:rsid w:val="00CA255C"/>
    <w:rsid w:val="00CB08F6"/>
    <w:rsid w:val="00CB292B"/>
    <w:rsid w:val="00CC1B60"/>
    <w:rsid w:val="00CC52EF"/>
    <w:rsid w:val="00CC7CC2"/>
    <w:rsid w:val="00CD2FCC"/>
    <w:rsid w:val="00CD328F"/>
    <w:rsid w:val="00CE77E0"/>
    <w:rsid w:val="00CF010A"/>
    <w:rsid w:val="00CF097F"/>
    <w:rsid w:val="00D44972"/>
    <w:rsid w:val="00D746E9"/>
    <w:rsid w:val="00DA039E"/>
    <w:rsid w:val="00DA47B1"/>
    <w:rsid w:val="00DB1B58"/>
    <w:rsid w:val="00DB4B44"/>
    <w:rsid w:val="00E25128"/>
    <w:rsid w:val="00E401C2"/>
    <w:rsid w:val="00E42ADA"/>
    <w:rsid w:val="00E5333D"/>
    <w:rsid w:val="00E64B20"/>
    <w:rsid w:val="00E64D05"/>
    <w:rsid w:val="00E70831"/>
    <w:rsid w:val="00E70A4F"/>
    <w:rsid w:val="00E745BD"/>
    <w:rsid w:val="00E81215"/>
    <w:rsid w:val="00E8756C"/>
    <w:rsid w:val="00EC5B11"/>
    <w:rsid w:val="00EE547D"/>
    <w:rsid w:val="00F06628"/>
    <w:rsid w:val="00F16000"/>
    <w:rsid w:val="00F252EC"/>
    <w:rsid w:val="00F30C3C"/>
    <w:rsid w:val="00F76B2D"/>
    <w:rsid w:val="00F8508B"/>
    <w:rsid w:val="00F902B2"/>
    <w:rsid w:val="00FB13AE"/>
    <w:rsid w:val="00FB312C"/>
    <w:rsid w:val="00FB394D"/>
    <w:rsid w:val="00FF584A"/>
    <w:rsid w:val="051C2FC2"/>
    <w:rsid w:val="1C295A60"/>
    <w:rsid w:val="38BC24A7"/>
    <w:rsid w:val="39254D25"/>
    <w:rsid w:val="4D957F70"/>
    <w:rsid w:val="6B5A7987"/>
    <w:rsid w:val="75E038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4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9">
    <w:name w:val="footnote reference"/>
    <w:basedOn w:val="8"/>
    <w:semiHidden/>
    <w:unhideWhenUsed/>
    <w:qFormat/>
    <w:uiPriority w:val="99"/>
    <w:rPr>
      <w:vertAlign w:val="superscript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4">
    <w:name w:val="脚注文本 Char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font3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024DD1-514B-40AD-B4E4-03195C59D5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234</Words>
  <Characters>1338</Characters>
  <Lines>11</Lines>
  <Paragraphs>3</Paragraphs>
  <TotalTime>11</TotalTime>
  <ScaleCrop>false</ScaleCrop>
  <LinksUpToDate>false</LinksUpToDate>
  <CharactersWithSpaces>1569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2018-01-22T02:58:00Z</dcterms:created>
  <dc:creator>Panpan Yang</dc:creator>
  <cp:lastModifiedBy>Administrator</cp:lastModifiedBy>
  <dcterms:modified xsi:type="dcterms:W3CDTF">2019-09-03T06:58:20Z</dcterms:modified>
  <dc:title>IWEP-HEER数据月报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