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AF27" w14:textId="77777777" w:rsidR="00963E97" w:rsidRDefault="00963E97">
      <w:pPr>
        <w:spacing w:line="360" w:lineRule="auto"/>
        <w:jc w:val="center"/>
        <w:rPr>
          <w:rFonts w:ascii="Times New Roman" w:eastAsia="宋体" w:hAnsi="Times New Roman" w:cs="Times New Roman"/>
          <w:sz w:val="24"/>
          <w:szCs w:val="24"/>
        </w:rPr>
      </w:pPr>
    </w:p>
    <w:p w14:paraId="50560E89" w14:textId="6C9FC129" w:rsidR="00963E97" w:rsidRDefault="00DD286C">
      <w:pPr>
        <w:spacing w:line="360" w:lineRule="auto"/>
        <w:jc w:val="center"/>
        <w:rPr>
          <w:rFonts w:ascii="Times New Roman" w:eastAsia="宋体" w:hAnsi="Times New Roman" w:cs="Times New Roman"/>
          <w:b/>
          <w:sz w:val="30"/>
          <w:szCs w:val="30"/>
        </w:rPr>
      </w:pPr>
      <w:r>
        <w:rPr>
          <w:rFonts w:ascii="Times New Roman" w:eastAsia="宋体" w:hAnsi="Times New Roman" w:cs="Times New Roman"/>
          <w:b/>
          <w:sz w:val="30"/>
          <w:szCs w:val="30"/>
        </w:rPr>
        <w:t>基于增加值人民币有效汇率数据月报（</w:t>
      </w:r>
      <w:r>
        <w:rPr>
          <w:rFonts w:ascii="Times New Roman" w:eastAsia="宋体" w:hAnsi="Times New Roman" w:cs="Times New Roman"/>
          <w:b/>
          <w:sz w:val="30"/>
          <w:szCs w:val="30"/>
        </w:rPr>
        <w:t>20</w:t>
      </w:r>
      <w:r w:rsidR="00EE143F">
        <w:rPr>
          <w:rFonts w:ascii="Times New Roman" w:eastAsia="宋体" w:hAnsi="Times New Roman" w:cs="Times New Roman" w:hint="eastAsia"/>
          <w:b/>
          <w:sz w:val="30"/>
          <w:szCs w:val="30"/>
        </w:rPr>
        <w:t>2</w:t>
      </w:r>
      <w:r w:rsidR="003D244B">
        <w:rPr>
          <w:rFonts w:ascii="Times New Roman" w:eastAsia="宋体" w:hAnsi="Times New Roman" w:cs="Times New Roman" w:hint="eastAsia"/>
          <w:b/>
          <w:sz w:val="30"/>
          <w:szCs w:val="30"/>
        </w:rPr>
        <w:t>3</w:t>
      </w:r>
      <w:r>
        <w:rPr>
          <w:rFonts w:ascii="Times New Roman" w:eastAsia="宋体" w:hAnsi="Times New Roman" w:cs="Times New Roman"/>
          <w:b/>
          <w:sz w:val="30"/>
          <w:szCs w:val="30"/>
        </w:rPr>
        <w:t>年</w:t>
      </w:r>
      <w:r w:rsidR="003D244B">
        <w:rPr>
          <w:rFonts w:ascii="Times New Roman" w:eastAsia="宋体" w:hAnsi="Times New Roman" w:cs="Times New Roman" w:hint="eastAsia"/>
          <w:b/>
          <w:sz w:val="30"/>
          <w:szCs w:val="30"/>
        </w:rPr>
        <w:t>1</w:t>
      </w:r>
      <w:r w:rsidR="00EF48EB">
        <w:rPr>
          <w:rFonts w:ascii="Times New Roman" w:eastAsia="宋体" w:hAnsi="Times New Roman" w:cs="Times New Roman" w:hint="eastAsia"/>
          <w:b/>
          <w:sz w:val="30"/>
          <w:szCs w:val="30"/>
        </w:rPr>
        <w:t>2</w:t>
      </w:r>
      <w:r>
        <w:rPr>
          <w:rFonts w:ascii="Times New Roman" w:eastAsia="宋体" w:hAnsi="Times New Roman" w:cs="Times New Roman"/>
          <w:b/>
          <w:sz w:val="30"/>
          <w:szCs w:val="30"/>
        </w:rPr>
        <w:t>月）</w:t>
      </w:r>
    </w:p>
    <w:p w14:paraId="10786D6D" w14:textId="77777777" w:rsidR="00963E97" w:rsidRDefault="00963E97">
      <w:pPr>
        <w:spacing w:line="360" w:lineRule="auto"/>
        <w:jc w:val="center"/>
        <w:rPr>
          <w:rFonts w:ascii="Times New Roman" w:eastAsia="宋体" w:hAnsi="Times New Roman" w:cs="Times New Roman"/>
          <w:b/>
          <w:sz w:val="30"/>
          <w:szCs w:val="30"/>
        </w:rPr>
      </w:pPr>
    </w:p>
    <w:p w14:paraId="770A95EF" w14:textId="1663804C"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20</w:t>
      </w:r>
      <w:r w:rsidR="00EE143F">
        <w:rPr>
          <w:rFonts w:ascii="Times New Roman" w:eastAsia="宋体" w:hAnsi="Times New Roman" w:cs="Times New Roman" w:hint="eastAsia"/>
          <w:b/>
          <w:sz w:val="24"/>
          <w:szCs w:val="24"/>
        </w:rPr>
        <w:t>2</w:t>
      </w:r>
      <w:r w:rsidR="00CB33FE">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年</w:t>
      </w:r>
      <w:r w:rsidR="00CB33FE">
        <w:rPr>
          <w:rFonts w:ascii="Times New Roman" w:eastAsia="宋体" w:hAnsi="Times New Roman" w:cs="Times New Roman" w:hint="eastAsia"/>
          <w:b/>
          <w:sz w:val="24"/>
          <w:szCs w:val="24"/>
        </w:rPr>
        <w:t>1</w:t>
      </w:r>
      <w:r w:rsidR="00EF48EB">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月，加总的基于增加值人民币有效汇率上月环比</w:t>
      </w:r>
      <w:r w:rsidR="00EF48EB">
        <w:rPr>
          <w:rFonts w:ascii="Times New Roman" w:eastAsia="宋体" w:hAnsi="Times New Roman" w:cs="Times New Roman" w:hint="eastAsia"/>
          <w:b/>
          <w:sz w:val="24"/>
          <w:szCs w:val="24"/>
        </w:rPr>
        <w:t>升</w:t>
      </w:r>
      <w:r w:rsidR="003B4BDC">
        <w:rPr>
          <w:rFonts w:ascii="Times New Roman" w:eastAsia="宋体" w:hAnsi="Times New Roman" w:cs="Times New Roman" w:hint="eastAsia"/>
          <w:b/>
          <w:sz w:val="24"/>
          <w:szCs w:val="24"/>
        </w:rPr>
        <w:t>值</w:t>
      </w:r>
      <w:r w:rsidR="000556CA">
        <w:rPr>
          <w:rFonts w:ascii="Times New Roman" w:eastAsia="宋体" w:hAnsi="Times New Roman" w:cs="Times New Roman" w:hint="eastAsia"/>
          <w:b/>
          <w:sz w:val="24"/>
          <w:szCs w:val="24"/>
        </w:rPr>
        <w:t>0.</w:t>
      </w:r>
      <w:r w:rsidR="00EF48EB">
        <w:rPr>
          <w:rFonts w:ascii="Times New Roman" w:eastAsia="宋体" w:hAnsi="Times New Roman" w:cs="Times New Roman" w:hint="eastAsia"/>
          <w:b/>
          <w:sz w:val="24"/>
          <w:szCs w:val="24"/>
        </w:rPr>
        <w:t>02</w:t>
      </w: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，上年同比贬值</w:t>
      </w:r>
      <w:r w:rsidR="00EF48EB">
        <w:rPr>
          <w:rFonts w:ascii="Times New Roman" w:eastAsia="宋体" w:hAnsi="Times New Roman" w:cs="Times New Roman" w:hint="eastAsia"/>
          <w:b/>
          <w:sz w:val="24"/>
          <w:szCs w:val="24"/>
        </w:rPr>
        <w:t>1.00</w:t>
      </w:r>
      <w:r>
        <w:rPr>
          <w:rFonts w:ascii="Times New Roman" w:eastAsia="宋体" w:hAnsi="Times New Roman" w:cs="Times New Roman"/>
          <w:b/>
          <w:sz w:val="24"/>
          <w:szCs w:val="24"/>
        </w:rPr>
        <w:t>%</w:t>
      </w:r>
      <w:r>
        <w:rPr>
          <w:rFonts w:ascii="Times New Roman" w:eastAsia="宋体" w:hAnsi="Times New Roman" w:cs="Times New Roman"/>
          <w:sz w:val="24"/>
          <w:szCs w:val="24"/>
        </w:rPr>
        <w:t>（图</w:t>
      </w:r>
      <w:r>
        <w:rPr>
          <w:rFonts w:ascii="Times New Roman" w:eastAsia="宋体" w:hAnsi="Times New Roman" w:cs="Times New Roman"/>
          <w:sz w:val="24"/>
          <w:szCs w:val="24"/>
        </w:rPr>
        <w:t>1</w:t>
      </w:r>
      <w:r>
        <w:rPr>
          <w:rFonts w:ascii="Times New Roman" w:eastAsia="宋体" w:hAnsi="Times New Roman" w:cs="Times New Roman"/>
          <w:sz w:val="24"/>
          <w:szCs w:val="24"/>
        </w:rPr>
        <w:t>）。同一时期，</w:t>
      </w:r>
      <w:r>
        <w:rPr>
          <w:rFonts w:ascii="Times New Roman" w:eastAsia="宋体" w:hAnsi="Times New Roman" w:cs="Times New Roman"/>
          <w:sz w:val="24"/>
          <w:szCs w:val="24"/>
        </w:rPr>
        <w:t>BIS</w:t>
      </w:r>
      <w:r>
        <w:rPr>
          <w:rFonts w:ascii="Times New Roman" w:eastAsia="宋体" w:hAnsi="Times New Roman" w:cs="Times New Roman"/>
          <w:sz w:val="24"/>
          <w:szCs w:val="24"/>
        </w:rPr>
        <w:t>人民币名义有效汇率上月环比</w:t>
      </w:r>
      <w:r w:rsidR="00EF48EB">
        <w:rPr>
          <w:rFonts w:ascii="Times New Roman" w:eastAsia="宋体" w:hAnsi="Times New Roman" w:cs="Times New Roman" w:hint="eastAsia"/>
          <w:sz w:val="24"/>
          <w:szCs w:val="24"/>
        </w:rPr>
        <w:t>升</w:t>
      </w:r>
      <w:r w:rsidR="00EE143F">
        <w:rPr>
          <w:rFonts w:ascii="Times New Roman" w:eastAsia="宋体" w:hAnsi="Times New Roman" w:cs="Times New Roman" w:hint="eastAsia"/>
          <w:sz w:val="24"/>
          <w:szCs w:val="24"/>
        </w:rPr>
        <w:t>值</w:t>
      </w:r>
      <w:r w:rsidR="000556CA">
        <w:rPr>
          <w:rFonts w:ascii="Times New Roman" w:eastAsia="宋体" w:hAnsi="Times New Roman" w:cs="Times New Roman" w:hint="eastAsia"/>
          <w:sz w:val="24"/>
          <w:szCs w:val="24"/>
        </w:rPr>
        <w:t>0.</w:t>
      </w:r>
      <w:r w:rsidR="00EF48EB">
        <w:rPr>
          <w:rFonts w:ascii="Times New Roman" w:eastAsia="宋体" w:hAnsi="Times New Roman" w:cs="Times New Roman" w:hint="eastAsia"/>
          <w:sz w:val="24"/>
          <w:szCs w:val="24"/>
        </w:rPr>
        <w:t>1</w:t>
      </w:r>
      <w:r w:rsidR="003B4BDC">
        <w:rPr>
          <w:rFonts w:ascii="Times New Roman" w:eastAsia="宋体" w:hAnsi="Times New Roman" w:cs="Times New Roman" w:hint="eastAsia"/>
          <w:sz w:val="24"/>
          <w:szCs w:val="24"/>
        </w:rPr>
        <w:t>8</w:t>
      </w:r>
      <w:r w:rsidR="00EE143F">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3B4BDC">
        <w:rPr>
          <w:rFonts w:ascii="Times New Roman" w:eastAsia="宋体" w:hAnsi="Times New Roman" w:cs="Times New Roman" w:hint="eastAsia"/>
          <w:sz w:val="24"/>
          <w:szCs w:val="24"/>
        </w:rPr>
        <w:t>1.</w:t>
      </w:r>
      <w:r w:rsidR="00EF48EB">
        <w:rPr>
          <w:rFonts w:ascii="Times New Roman" w:eastAsia="宋体" w:hAnsi="Times New Roman" w:cs="Times New Roman" w:hint="eastAsia"/>
          <w:sz w:val="24"/>
          <w:szCs w:val="24"/>
        </w:rPr>
        <w:t>34</w:t>
      </w:r>
      <w:r>
        <w:rPr>
          <w:rFonts w:ascii="Times New Roman" w:eastAsia="宋体" w:hAnsi="Times New Roman" w:cs="Times New Roman"/>
          <w:sz w:val="24"/>
          <w:szCs w:val="24"/>
        </w:rPr>
        <w:t>%</w:t>
      </w:r>
      <w:r>
        <w:rPr>
          <w:rFonts w:ascii="Times New Roman" w:eastAsia="宋体" w:hAnsi="Times New Roman" w:cs="Times New Roman"/>
          <w:sz w:val="24"/>
          <w:szCs w:val="24"/>
        </w:rPr>
        <w:t>，</w:t>
      </w:r>
      <w:r w:rsidRPr="00366EE3">
        <w:rPr>
          <w:rFonts w:ascii="Times New Roman" w:eastAsia="宋体" w:hAnsi="Times New Roman" w:cs="Times New Roman"/>
          <w:sz w:val="24"/>
          <w:szCs w:val="24"/>
        </w:rPr>
        <w:t>增加</w:t>
      </w:r>
      <w:proofErr w:type="gramStart"/>
      <w:r w:rsidRPr="00366EE3">
        <w:rPr>
          <w:rFonts w:ascii="Times New Roman" w:eastAsia="宋体" w:hAnsi="Times New Roman" w:cs="Times New Roman"/>
          <w:sz w:val="24"/>
          <w:szCs w:val="24"/>
        </w:rPr>
        <w:t>值有效</w:t>
      </w:r>
      <w:proofErr w:type="gramEnd"/>
      <w:r w:rsidRPr="00366EE3">
        <w:rPr>
          <w:rFonts w:ascii="Times New Roman" w:eastAsia="宋体" w:hAnsi="Times New Roman" w:cs="Times New Roman"/>
          <w:sz w:val="24"/>
          <w:szCs w:val="24"/>
        </w:rPr>
        <w:t>汇率</w:t>
      </w:r>
      <w:r w:rsidRPr="00366EE3">
        <w:rPr>
          <w:rFonts w:ascii="Times New Roman" w:eastAsia="宋体" w:hAnsi="Times New Roman" w:cs="Times New Roman" w:hint="eastAsia"/>
          <w:sz w:val="24"/>
          <w:szCs w:val="24"/>
        </w:rPr>
        <w:t>与</w:t>
      </w:r>
      <w:r w:rsidRPr="00366EE3">
        <w:rPr>
          <w:rFonts w:ascii="Times New Roman" w:eastAsia="宋体" w:hAnsi="Times New Roman" w:cs="Times New Roman"/>
          <w:sz w:val="24"/>
          <w:szCs w:val="24"/>
        </w:rPr>
        <w:t>BIS</w:t>
      </w:r>
      <w:r w:rsidRPr="00366EE3">
        <w:rPr>
          <w:rFonts w:ascii="Times New Roman" w:eastAsia="宋体" w:hAnsi="Times New Roman" w:cs="Times New Roman" w:hint="eastAsia"/>
          <w:sz w:val="24"/>
          <w:szCs w:val="24"/>
        </w:rPr>
        <w:t>有效汇率走势整体基本相当</w:t>
      </w:r>
      <w:r w:rsidRPr="00366EE3">
        <w:rPr>
          <w:rFonts w:ascii="Times New Roman" w:eastAsia="宋体" w:hAnsi="Times New Roman" w:cs="Times New Roman"/>
          <w:sz w:val="24"/>
          <w:szCs w:val="24"/>
        </w:rPr>
        <w:t>。</w:t>
      </w:r>
      <w:r w:rsidRPr="00366EE3">
        <w:rPr>
          <w:rFonts w:ascii="Times New Roman" w:eastAsia="宋体" w:hAnsi="Times New Roman" w:cs="Times New Roman" w:hint="eastAsia"/>
          <w:sz w:val="24"/>
          <w:szCs w:val="24"/>
        </w:rPr>
        <w:t>其他代表性</w:t>
      </w:r>
      <w:proofErr w:type="gramStart"/>
      <w:r w:rsidRPr="00366EE3">
        <w:rPr>
          <w:rFonts w:ascii="Times New Roman" w:eastAsia="宋体" w:hAnsi="Times New Roman" w:cs="Times New Roman" w:hint="eastAsia"/>
          <w:sz w:val="24"/>
          <w:szCs w:val="24"/>
        </w:rPr>
        <w:t>传统汇率</w:t>
      </w:r>
      <w:proofErr w:type="gramEnd"/>
      <w:r w:rsidRPr="00366EE3">
        <w:rPr>
          <w:rFonts w:ascii="Times New Roman" w:eastAsia="宋体" w:hAnsi="Times New Roman" w:cs="Times New Roman" w:hint="eastAsia"/>
          <w:sz w:val="24"/>
          <w:szCs w:val="24"/>
        </w:rPr>
        <w:t>走势如下：</w:t>
      </w:r>
      <w:r w:rsidRPr="00366EE3">
        <w:rPr>
          <w:rFonts w:ascii="Times New Roman" w:eastAsia="宋体" w:hAnsi="Times New Roman" w:cs="Times New Roman"/>
          <w:sz w:val="24"/>
          <w:szCs w:val="24"/>
        </w:rPr>
        <w:t>BIS</w:t>
      </w:r>
      <w:r w:rsidRPr="00366EE3">
        <w:rPr>
          <w:rFonts w:ascii="Times New Roman" w:eastAsia="宋体" w:hAnsi="Times New Roman" w:cs="Times New Roman"/>
          <w:sz w:val="24"/>
          <w:szCs w:val="24"/>
        </w:rPr>
        <w:t>人民币实际有效汇率上月环比</w:t>
      </w:r>
      <w:r w:rsidR="00EF48EB">
        <w:rPr>
          <w:rFonts w:ascii="Times New Roman" w:eastAsia="宋体" w:hAnsi="Times New Roman" w:cs="Times New Roman" w:hint="eastAsia"/>
          <w:sz w:val="24"/>
          <w:szCs w:val="24"/>
        </w:rPr>
        <w:t>升</w:t>
      </w:r>
      <w:r w:rsidR="001C2CCA" w:rsidRPr="00366EE3">
        <w:rPr>
          <w:rFonts w:ascii="Times New Roman" w:eastAsia="宋体" w:hAnsi="Times New Roman" w:cs="Times New Roman" w:hint="eastAsia"/>
          <w:sz w:val="24"/>
          <w:szCs w:val="24"/>
        </w:rPr>
        <w:t>值</w:t>
      </w:r>
      <w:r w:rsidR="001C2CCA" w:rsidRPr="00366EE3">
        <w:rPr>
          <w:rFonts w:ascii="Times New Roman" w:eastAsia="宋体" w:hAnsi="Times New Roman" w:cs="Times New Roman" w:hint="eastAsia"/>
          <w:sz w:val="24"/>
          <w:szCs w:val="24"/>
        </w:rPr>
        <w:t>0.</w:t>
      </w:r>
      <w:r w:rsidR="00EF48EB">
        <w:rPr>
          <w:rFonts w:ascii="Times New Roman" w:eastAsia="宋体" w:hAnsi="Times New Roman" w:cs="Times New Roman" w:hint="eastAsia"/>
          <w:sz w:val="24"/>
          <w:szCs w:val="24"/>
        </w:rPr>
        <w:t>42</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，上年同比</w:t>
      </w:r>
      <w:r w:rsidR="00FF7396" w:rsidRPr="00366EE3">
        <w:rPr>
          <w:rFonts w:ascii="Times New Roman" w:eastAsia="宋体" w:hAnsi="Times New Roman" w:cs="Times New Roman" w:hint="eastAsia"/>
          <w:sz w:val="24"/>
          <w:szCs w:val="24"/>
        </w:rPr>
        <w:t>贬</w:t>
      </w:r>
      <w:r w:rsidR="006C0701" w:rsidRPr="00366EE3">
        <w:rPr>
          <w:rFonts w:ascii="Times New Roman" w:eastAsia="宋体" w:hAnsi="Times New Roman" w:cs="Times New Roman" w:hint="eastAsia"/>
          <w:sz w:val="24"/>
          <w:szCs w:val="24"/>
        </w:rPr>
        <w:t>值</w:t>
      </w:r>
      <w:r w:rsidR="00A33B71">
        <w:rPr>
          <w:rFonts w:ascii="Times New Roman" w:eastAsia="宋体" w:hAnsi="Times New Roman" w:cs="Times New Roman" w:hint="eastAsia"/>
          <w:sz w:val="24"/>
          <w:szCs w:val="24"/>
        </w:rPr>
        <w:t>5.</w:t>
      </w:r>
      <w:r w:rsidR="00EF48EB">
        <w:rPr>
          <w:rFonts w:ascii="Times New Roman" w:eastAsia="宋体" w:hAnsi="Times New Roman" w:cs="Times New Roman" w:hint="eastAsia"/>
          <w:sz w:val="24"/>
          <w:szCs w:val="24"/>
        </w:rPr>
        <w:t>54</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；基于</w:t>
      </w:r>
      <w:r w:rsidRPr="00366EE3">
        <w:rPr>
          <w:rFonts w:ascii="Times New Roman" w:eastAsia="宋体" w:hAnsi="Times New Roman" w:cs="Times New Roman"/>
          <w:sz w:val="24"/>
          <w:szCs w:val="24"/>
        </w:rPr>
        <w:t xml:space="preserve">CFETS </w:t>
      </w:r>
      <w:r w:rsidRPr="00366EE3">
        <w:rPr>
          <w:rFonts w:ascii="Times New Roman" w:eastAsia="宋体" w:hAnsi="Times New Roman" w:cs="Times New Roman"/>
          <w:sz w:val="24"/>
          <w:szCs w:val="24"/>
        </w:rPr>
        <w:t>货币篮子人民币汇率指数上月环比</w:t>
      </w:r>
      <w:r w:rsidR="000556CA" w:rsidRPr="00366EE3">
        <w:rPr>
          <w:rFonts w:ascii="Times New Roman" w:eastAsia="宋体" w:hAnsi="Times New Roman" w:cs="Times New Roman" w:hint="eastAsia"/>
          <w:sz w:val="24"/>
          <w:szCs w:val="24"/>
        </w:rPr>
        <w:t>贬值</w:t>
      </w:r>
      <w:r w:rsidR="00EF48EB">
        <w:rPr>
          <w:rFonts w:ascii="Times New Roman" w:eastAsia="宋体" w:hAnsi="Times New Roman" w:cs="Times New Roman" w:hint="eastAsia"/>
          <w:sz w:val="24"/>
          <w:szCs w:val="24"/>
        </w:rPr>
        <w:t>0.89</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，上年同比贬值</w:t>
      </w:r>
      <w:r w:rsidR="00681E99">
        <w:rPr>
          <w:rFonts w:ascii="Times New Roman" w:eastAsia="宋体" w:hAnsi="Times New Roman" w:cs="Times New Roman" w:hint="eastAsia"/>
          <w:sz w:val="24"/>
          <w:szCs w:val="24"/>
        </w:rPr>
        <w:t>1.</w:t>
      </w:r>
      <w:r w:rsidR="00EF48EB">
        <w:rPr>
          <w:rFonts w:ascii="Times New Roman" w:eastAsia="宋体" w:hAnsi="Times New Roman" w:cs="Times New Roman" w:hint="eastAsia"/>
          <w:sz w:val="24"/>
          <w:szCs w:val="24"/>
        </w:rPr>
        <w:t>27</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；基于</w:t>
      </w:r>
      <w:r w:rsidRPr="00366EE3">
        <w:rPr>
          <w:rFonts w:ascii="Times New Roman" w:eastAsia="宋体" w:hAnsi="Times New Roman" w:cs="Times New Roman"/>
          <w:sz w:val="24"/>
          <w:szCs w:val="24"/>
        </w:rPr>
        <w:t>SDR</w:t>
      </w:r>
      <w:r w:rsidRPr="00366EE3">
        <w:rPr>
          <w:rFonts w:ascii="Times New Roman" w:eastAsia="宋体" w:hAnsi="Times New Roman" w:cs="Times New Roman"/>
          <w:sz w:val="24"/>
          <w:szCs w:val="24"/>
        </w:rPr>
        <w:t>货币篮子人民币指数上月环比</w:t>
      </w:r>
      <w:r w:rsidR="00681E99">
        <w:rPr>
          <w:rFonts w:ascii="Times New Roman" w:eastAsia="宋体" w:hAnsi="Times New Roman" w:cs="Times New Roman" w:hint="eastAsia"/>
          <w:sz w:val="24"/>
          <w:szCs w:val="24"/>
        </w:rPr>
        <w:t>贬</w:t>
      </w:r>
      <w:r w:rsidR="000556CA" w:rsidRPr="00366EE3">
        <w:rPr>
          <w:rFonts w:ascii="Times New Roman" w:eastAsia="宋体" w:hAnsi="Times New Roman" w:cs="Times New Roman" w:hint="eastAsia"/>
          <w:sz w:val="24"/>
          <w:szCs w:val="24"/>
        </w:rPr>
        <w:t>值</w:t>
      </w:r>
      <w:r w:rsidR="000556CA" w:rsidRPr="00366EE3">
        <w:rPr>
          <w:rFonts w:ascii="Times New Roman" w:eastAsia="宋体" w:hAnsi="Times New Roman" w:cs="Times New Roman" w:hint="eastAsia"/>
          <w:sz w:val="24"/>
          <w:szCs w:val="24"/>
        </w:rPr>
        <w:t>0.</w:t>
      </w:r>
      <w:r w:rsidR="00EF48EB">
        <w:rPr>
          <w:rFonts w:ascii="Times New Roman" w:eastAsia="宋体" w:hAnsi="Times New Roman" w:cs="Times New Roman" w:hint="eastAsia"/>
          <w:sz w:val="24"/>
          <w:szCs w:val="24"/>
        </w:rPr>
        <w:t>44</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，上年同比贬值</w:t>
      </w:r>
      <w:r w:rsidR="00EF48EB">
        <w:rPr>
          <w:rFonts w:ascii="Times New Roman" w:eastAsia="宋体" w:hAnsi="Times New Roman" w:cs="Times New Roman" w:hint="eastAsia"/>
          <w:sz w:val="24"/>
          <w:szCs w:val="24"/>
        </w:rPr>
        <w:t>2.97</w:t>
      </w:r>
      <w:r w:rsidRPr="00366EE3">
        <w:rPr>
          <w:rFonts w:ascii="Times New Roman" w:eastAsia="宋体" w:hAnsi="Times New Roman" w:cs="Times New Roman"/>
          <w:sz w:val="24"/>
          <w:szCs w:val="24"/>
        </w:rPr>
        <w:t>%</w:t>
      </w:r>
      <w:r w:rsidRPr="00366EE3">
        <w:rPr>
          <w:rFonts w:ascii="Times New Roman" w:eastAsia="宋体" w:hAnsi="Times New Roman" w:cs="Times New Roman"/>
          <w:sz w:val="24"/>
          <w:szCs w:val="24"/>
        </w:rPr>
        <w:t>。</w:t>
      </w:r>
      <w:r w:rsidRPr="00366EE3">
        <w:rPr>
          <w:rFonts w:ascii="Times New Roman" w:eastAsia="宋体" w:hAnsi="Times New Roman" w:cs="Times New Roman" w:hint="eastAsia"/>
          <w:sz w:val="24"/>
          <w:szCs w:val="24"/>
        </w:rPr>
        <w:t>基于增加值人民币有效</w:t>
      </w:r>
      <w:proofErr w:type="gramStart"/>
      <w:r w:rsidRPr="00366EE3">
        <w:rPr>
          <w:rFonts w:ascii="Times New Roman" w:eastAsia="宋体" w:hAnsi="Times New Roman" w:cs="Times New Roman" w:hint="eastAsia"/>
          <w:sz w:val="24"/>
          <w:szCs w:val="24"/>
        </w:rPr>
        <w:t>汇率</w:t>
      </w:r>
      <w:r w:rsidR="00EE143F" w:rsidRPr="00366EE3">
        <w:rPr>
          <w:rFonts w:ascii="Times New Roman" w:eastAsia="宋体" w:hAnsi="Times New Roman" w:cs="Times New Roman" w:hint="eastAsia"/>
          <w:sz w:val="24"/>
          <w:szCs w:val="24"/>
        </w:rPr>
        <w:t>环</w:t>
      </w:r>
      <w:proofErr w:type="gramEnd"/>
      <w:r w:rsidR="00EE143F" w:rsidRPr="00366EE3">
        <w:rPr>
          <w:rFonts w:ascii="Times New Roman" w:eastAsia="宋体" w:hAnsi="Times New Roman" w:cs="Times New Roman" w:hint="eastAsia"/>
          <w:sz w:val="24"/>
          <w:szCs w:val="24"/>
        </w:rPr>
        <w:t>比</w:t>
      </w:r>
      <w:r w:rsidR="00EF48EB">
        <w:rPr>
          <w:rFonts w:ascii="Times New Roman" w:eastAsia="宋体" w:hAnsi="Times New Roman" w:cs="Times New Roman" w:hint="eastAsia"/>
          <w:sz w:val="24"/>
          <w:szCs w:val="24"/>
        </w:rPr>
        <w:t>升</w:t>
      </w:r>
      <w:r w:rsidRPr="00366EE3">
        <w:rPr>
          <w:rFonts w:ascii="Times New Roman" w:eastAsia="宋体" w:hAnsi="Times New Roman" w:cs="Times New Roman" w:hint="eastAsia"/>
          <w:sz w:val="24"/>
          <w:szCs w:val="24"/>
        </w:rPr>
        <w:t>值幅度</w:t>
      </w:r>
      <w:r w:rsidR="00EF48EB">
        <w:rPr>
          <w:rFonts w:ascii="Times New Roman" w:eastAsia="宋体" w:hAnsi="Times New Roman" w:cs="Times New Roman" w:hint="eastAsia"/>
          <w:sz w:val="24"/>
          <w:szCs w:val="24"/>
        </w:rPr>
        <w:t>低于</w:t>
      </w:r>
      <w:r w:rsidRPr="00366EE3">
        <w:rPr>
          <w:rFonts w:ascii="Times New Roman" w:eastAsia="宋体" w:hAnsi="Times New Roman" w:cs="Times New Roman" w:hint="eastAsia"/>
          <w:sz w:val="24"/>
          <w:szCs w:val="24"/>
        </w:rPr>
        <w:t>BIS</w:t>
      </w:r>
      <w:r w:rsidR="00EE143F" w:rsidRPr="00366EE3">
        <w:rPr>
          <w:rFonts w:ascii="Times New Roman" w:eastAsia="宋体" w:hAnsi="Times New Roman" w:cs="Times New Roman" w:hint="eastAsia"/>
          <w:sz w:val="24"/>
          <w:szCs w:val="24"/>
        </w:rPr>
        <w:t>，同比贬值幅度</w:t>
      </w:r>
      <w:r w:rsidR="000556CA" w:rsidRPr="00366EE3">
        <w:rPr>
          <w:rFonts w:ascii="Times New Roman" w:eastAsia="宋体" w:hAnsi="Times New Roman" w:cs="Times New Roman" w:hint="eastAsia"/>
          <w:sz w:val="24"/>
          <w:szCs w:val="24"/>
        </w:rPr>
        <w:t>低</w:t>
      </w:r>
      <w:r w:rsidR="00EE143F" w:rsidRPr="00366EE3">
        <w:rPr>
          <w:rFonts w:ascii="Times New Roman" w:eastAsia="宋体" w:hAnsi="Times New Roman" w:cs="Times New Roman" w:hint="eastAsia"/>
          <w:sz w:val="24"/>
          <w:szCs w:val="24"/>
        </w:rPr>
        <w:t>于</w:t>
      </w:r>
      <w:r w:rsidR="00EE143F" w:rsidRPr="00366EE3">
        <w:rPr>
          <w:rFonts w:ascii="Times New Roman" w:eastAsia="宋体" w:hAnsi="Times New Roman" w:cs="Times New Roman" w:hint="eastAsia"/>
          <w:sz w:val="24"/>
          <w:szCs w:val="24"/>
        </w:rPr>
        <w:t>BIS</w:t>
      </w:r>
      <w:r w:rsidR="00EE143F" w:rsidRPr="00366EE3">
        <w:rPr>
          <w:rFonts w:ascii="Times New Roman" w:eastAsia="宋体" w:hAnsi="Times New Roman" w:cs="Times New Roman" w:hint="eastAsia"/>
          <w:sz w:val="24"/>
          <w:szCs w:val="24"/>
        </w:rPr>
        <w:t>与主要篮子货币。</w:t>
      </w:r>
    </w:p>
    <w:p w14:paraId="6C26D986" w14:textId="3F431366"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Pr>
          <w:rFonts w:ascii="Times New Roman" w:eastAsia="宋体" w:hAnsi="Times New Roman" w:cs="Times New Roman" w:hint="eastAsia"/>
          <w:b/>
          <w:sz w:val="24"/>
          <w:szCs w:val="24"/>
        </w:rPr>
        <w:t>分解来看，可贸易品和不可贸易品基于增加值人民币有效汇率也均贬值。</w:t>
      </w:r>
      <w:r>
        <w:rPr>
          <w:rFonts w:ascii="Times New Roman" w:eastAsia="宋体" w:hAnsi="Times New Roman" w:cs="Times New Roman"/>
          <w:sz w:val="24"/>
          <w:szCs w:val="24"/>
        </w:rPr>
        <w:t>可贸易</w:t>
      </w:r>
      <w:proofErr w:type="gramStart"/>
      <w:r>
        <w:rPr>
          <w:rFonts w:ascii="Times New Roman" w:eastAsia="宋体" w:hAnsi="Times New Roman" w:cs="Times New Roman"/>
          <w:sz w:val="24"/>
          <w:szCs w:val="24"/>
        </w:rPr>
        <w:t>品有效</w:t>
      </w:r>
      <w:proofErr w:type="gramEnd"/>
      <w:r>
        <w:rPr>
          <w:rFonts w:ascii="Times New Roman" w:eastAsia="宋体" w:hAnsi="Times New Roman" w:cs="Times New Roman"/>
          <w:sz w:val="24"/>
          <w:szCs w:val="24"/>
        </w:rPr>
        <w:t>汇率上月</w:t>
      </w:r>
      <w:r w:rsidR="007A065F">
        <w:rPr>
          <w:rFonts w:ascii="Times New Roman" w:eastAsia="宋体" w:hAnsi="Times New Roman" w:cs="Times New Roman" w:hint="eastAsia"/>
          <w:sz w:val="24"/>
          <w:szCs w:val="24"/>
        </w:rPr>
        <w:t>环比贬</w:t>
      </w:r>
      <w:r w:rsidR="00EE143F">
        <w:rPr>
          <w:rFonts w:ascii="Times New Roman" w:eastAsia="宋体" w:hAnsi="Times New Roman" w:cs="Times New Roman" w:hint="eastAsia"/>
          <w:sz w:val="24"/>
          <w:szCs w:val="24"/>
        </w:rPr>
        <w:t>值</w:t>
      </w:r>
      <w:r w:rsidR="006C0701">
        <w:rPr>
          <w:rFonts w:ascii="Times New Roman" w:eastAsia="宋体" w:hAnsi="Times New Roman" w:cs="Times New Roman" w:hint="eastAsia"/>
          <w:sz w:val="24"/>
          <w:szCs w:val="24"/>
        </w:rPr>
        <w:t>0.</w:t>
      </w:r>
      <w:r w:rsidR="00386DF1">
        <w:rPr>
          <w:rFonts w:ascii="Times New Roman" w:eastAsia="宋体" w:hAnsi="Times New Roman" w:cs="Times New Roman" w:hint="eastAsia"/>
          <w:sz w:val="24"/>
          <w:szCs w:val="24"/>
        </w:rPr>
        <w:t>02</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，上年同比贬值</w:t>
      </w:r>
      <w:r w:rsidR="00386DF1">
        <w:rPr>
          <w:rFonts w:ascii="Times New Roman" w:eastAsia="宋体" w:hAnsi="Times New Roman" w:cs="Times New Roman" w:hint="eastAsia"/>
          <w:sz w:val="24"/>
          <w:szCs w:val="24"/>
        </w:rPr>
        <w:t>1.24</w:t>
      </w:r>
      <w:r>
        <w:rPr>
          <w:rFonts w:ascii="Times New Roman" w:eastAsia="宋体" w:hAnsi="Times New Roman" w:cs="Times New Roman"/>
          <w:sz w:val="24"/>
          <w:szCs w:val="24"/>
        </w:rPr>
        <w:t>%</w:t>
      </w:r>
      <w:r>
        <w:rPr>
          <w:rFonts w:ascii="Times New Roman" w:eastAsia="宋体" w:hAnsi="Times New Roman" w:cs="Times New Roman"/>
          <w:sz w:val="24"/>
          <w:szCs w:val="24"/>
        </w:rPr>
        <w:t>；不可贸易</w:t>
      </w:r>
      <w:proofErr w:type="gramStart"/>
      <w:r>
        <w:rPr>
          <w:rFonts w:ascii="Times New Roman" w:eastAsia="宋体" w:hAnsi="Times New Roman" w:cs="Times New Roman"/>
          <w:sz w:val="24"/>
          <w:szCs w:val="24"/>
        </w:rPr>
        <w:t>品有效</w:t>
      </w:r>
      <w:proofErr w:type="gramEnd"/>
      <w:r>
        <w:rPr>
          <w:rFonts w:ascii="Times New Roman" w:eastAsia="宋体" w:hAnsi="Times New Roman" w:cs="Times New Roman"/>
          <w:sz w:val="24"/>
          <w:szCs w:val="24"/>
        </w:rPr>
        <w:t>汇率上月</w:t>
      </w:r>
      <w:r w:rsidR="00386DF1">
        <w:rPr>
          <w:rFonts w:ascii="Times New Roman" w:eastAsia="宋体" w:hAnsi="Times New Roman" w:cs="Times New Roman" w:hint="eastAsia"/>
          <w:sz w:val="24"/>
          <w:szCs w:val="24"/>
        </w:rPr>
        <w:t>基本</w:t>
      </w:r>
      <w:r w:rsidR="00823951">
        <w:rPr>
          <w:rFonts w:ascii="Times New Roman" w:eastAsia="宋体" w:hAnsi="Times New Roman" w:cs="Times New Roman" w:hint="eastAsia"/>
          <w:sz w:val="24"/>
          <w:szCs w:val="24"/>
        </w:rPr>
        <w:t>保持</w:t>
      </w:r>
      <w:r w:rsidR="00386DF1">
        <w:rPr>
          <w:rFonts w:ascii="Times New Roman" w:eastAsia="宋体" w:hAnsi="Times New Roman" w:cs="Times New Roman" w:hint="eastAsia"/>
          <w:sz w:val="24"/>
          <w:szCs w:val="24"/>
        </w:rPr>
        <w:t>不升不贬</w:t>
      </w:r>
      <w:r>
        <w:rPr>
          <w:rFonts w:ascii="Times New Roman" w:eastAsia="宋体" w:hAnsi="Times New Roman" w:cs="Times New Roman"/>
          <w:sz w:val="24"/>
          <w:szCs w:val="24"/>
        </w:rPr>
        <w:t>，上年同比贬值</w:t>
      </w:r>
      <w:r w:rsidR="00386DF1">
        <w:rPr>
          <w:rFonts w:ascii="Times New Roman" w:eastAsia="宋体" w:hAnsi="Times New Roman" w:cs="Times New Roman" w:hint="eastAsia"/>
          <w:sz w:val="24"/>
          <w:szCs w:val="24"/>
        </w:rPr>
        <w:t>1.33</w:t>
      </w:r>
      <w:r>
        <w:rPr>
          <w:rFonts w:ascii="Times New Roman" w:eastAsia="宋体" w:hAnsi="Times New Roman" w:cs="Times New Roman"/>
          <w:sz w:val="24"/>
          <w:szCs w:val="24"/>
        </w:rPr>
        <w:t>%</w:t>
      </w:r>
      <w:r>
        <w:rPr>
          <w:rFonts w:ascii="Times New Roman" w:eastAsia="宋体" w:hAnsi="Times New Roman" w:cs="Times New Roman"/>
          <w:sz w:val="24"/>
          <w:szCs w:val="24"/>
        </w:rPr>
        <w:t>。</w:t>
      </w:r>
      <w:r w:rsidR="004C61F1">
        <w:rPr>
          <w:rFonts w:ascii="Times New Roman" w:eastAsia="宋体" w:hAnsi="Times New Roman" w:cs="Times New Roman" w:hint="eastAsia"/>
          <w:sz w:val="24"/>
          <w:szCs w:val="24"/>
        </w:rPr>
        <w:t>可</w:t>
      </w:r>
      <w:proofErr w:type="gramStart"/>
      <w:r w:rsidR="004C61F1">
        <w:rPr>
          <w:rFonts w:ascii="Times New Roman" w:eastAsia="宋体" w:hAnsi="Times New Roman" w:cs="Times New Roman" w:hint="eastAsia"/>
          <w:sz w:val="24"/>
          <w:szCs w:val="24"/>
        </w:rPr>
        <w:t>贸易品</w:t>
      </w:r>
      <w:r w:rsidR="006002D1">
        <w:rPr>
          <w:rFonts w:ascii="Times New Roman" w:eastAsia="宋体" w:hAnsi="Times New Roman" w:cs="Times New Roman" w:hint="eastAsia"/>
          <w:sz w:val="24"/>
          <w:szCs w:val="24"/>
        </w:rPr>
        <w:t>环比</w:t>
      </w:r>
      <w:proofErr w:type="gramEnd"/>
      <w:r w:rsidR="007A065F">
        <w:rPr>
          <w:rFonts w:ascii="Times New Roman" w:eastAsia="宋体" w:hAnsi="Times New Roman" w:cs="Times New Roman" w:hint="eastAsia"/>
          <w:sz w:val="24"/>
          <w:szCs w:val="24"/>
        </w:rPr>
        <w:t>贬</w:t>
      </w:r>
      <w:r w:rsidR="006002D1">
        <w:rPr>
          <w:rFonts w:ascii="Times New Roman" w:eastAsia="宋体" w:hAnsi="Times New Roman" w:cs="Times New Roman" w:hint="eastAsia"/>
          <w:sz w:val="24"/>
          <w:szCs w:val="24"/>
        </w:rPr>
        <w:t>值幅度与加</w:t>
      </w:r>
      <w:proofErr w:type="gramStart"/>
      <w:r w:rsidR="006002D1">
        <w:rPr>
          <w:rFonts w:ascii="Times New Roman" w:eastAsia="宋体" w:hAnsi="Times New Roman" w:cs="Times New Roman" w:hint="eastAsia"/>
          <w:sz w:val="24"/>
          <w:szCs w:val="24"/>
        </w:rPr>
        <w:t>总基本</w:t>
      </w:r>
      <w:proofErr w:type="gramEnd"/>
      <w:r w:rsidR="006002D1">
        <w:rPr>
          <w:rFonts w:ascii="Times New Roman" w:eastAsia="宋体" w:hAnsi="Times New Roman" w:cs="Times New Roman" w:hint="eastAsia"/>
          <w:sz w:val="24"/>
          <w:szCs w:val="24"/>
        </w:rPr>
        <w:t>一致，但是</w:t>
      </w:r>
      <w:r w:rsidR="00386DF1">
        <w:rPr>
          <w:rFonts w:ascii="Times New Roman" w:eastAsia="宋体" w:hAnsi="Times New Roman" w:cs="Times New Roman" w:hint="eastAsia"/>
          <w:sz w:val="24"/>
          <w:szCs w:val="24"/>
        </w:rPr>
        <w:t>可贸易品</w:t>
      </w:r>
      <w:r w:rsidR="00386DF1">
        <w:rPr>
          <w:rFonts w:ascii="Times New Roman" w:eastAsia="宋体" w:hAnsi="Times New Roman" w:cs="Times New Roman" w:hint="eastAsia"/>
          <w:sz w:val="24"/>
          <w:szCs w:val="24"/>
        </w:rPr>
        <w:t>与不可贸易品</w:t>
      </w:r>
      <w:r w:rsidR="006002D1">
        <w:rPr>
          <w:rFonts w:ascii="Times New Roman" w:eastAsia="宋体" w:hAnsi="Times New Roman" w:cs="Times New Roman" w:hint="eastAsia"/>
          <w:sz w:val="24"/>
          <w:szCs w:val="24"/>
        </w:rPr>
        <w:t>同比贬值幅度略高于加总情形</w:t>
      </w:r>
      <w:r w:rsidR="004C61F1">
        <w:rPr>
          <w:rFonts w:ascii="Times New Roman" w:eastAsia="宋体" w:hAnsi="Times New Roman" w:cs="Times New Roman" w:hint="eastAsia"/>
          <w:sz w:val="24"/>
          <w:szCs w:val="24"/>
        </w:rPr>
        <w:t>。</w:t>
      </w:r>
    </w:p>
    <w:p w14:paraId="2973D282" w14:textId="7C2F2EA8"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sz w:val="24"/>
          <w:szCs w:val="24"/>
        </w:rPr>
        <w:t xml:space="preserve">. </w:t>
      </w:r>
      <w:r>
        <w:rPr>
          <w:rFonts w:ascii="Times New Roman" w:eastAsia="宋体" w:hAnsi="Times New Roman" w:cs="Times New Roman" w:hint="eastAsia"/>
          <w:b/>
          <w:sz w:val="24"/>
          <w:szCs w:val="24"/>
        </w:rPr>
        <w:t>分行业来看，</w:t>
      </w:r>
      <w:r w:rsidR="004C61F1">
        <w:rPr>
          <w:rFonts w:ascii="Times New Roman" w:eastAsia="宋体" w:hAnsi="Times New Roman" w:cs="Times New Roman" w:hint="eastAsia"/>
          <w:b/>
          <w:sz w:val="24"/>
          <w:szCs w:val="24"/>
        </w:rPr>
        <w:t>多数</w:t>
      </w:r>
      <w:r>
        <w:rPr>
          <w:rFonts w:ascii="Times New Roman" w:eastAsia="宋体" w:hAnsi="Times New Roman" w:cs="Times New Roman" w:hint="eastAsia"/>
          <w:b/>
          <w:sz w:val="24"/>
          <w:szCs w:val="24"/>
        </w:rPr>
        <w:t>行业</w:t>
      </w:r>
      <w:r w:rsidR="004C61F1">
        <w:rPr>
          <w:rFonts w:ascii="Times New Roman" w:eastAsia="宋体" w:hAnsi="Times New Roman" w:cs="Times New Roman" w:hint="eastAsia"/>
          <w:b/>
          <w:sz w:val="24"/>
          <w:szCs w:val="24"/>
        </w:rPr>
        <w:t>呈现环比升值和同比贬值趋势</w:t>
      </w:r>
      <w:r>
        <w:rPr>
          <w:rFonts w:ascii="Times New Roman" w:eastAsia="宋体" w:hAnsi="Times New Roman" w:cs="Times New Roman" w:hint="eastAsia"/>
          <w:b/>
          <w:sz w:val="24"/>
          <w:szCs w:val="24"/>
        </w:rPr>
        <w:t>。</w:t>
      </w:r>
      <w:r w:rsidR="00A40302">
        <w:rPr>
          <w:rFonts w:ascii="Times New Roman" w:eastAsia="宋体" w:hAnsi="Times New Roman" w:cs="Times New Roman" w:hint="eastAsia"/>
          <w:sz w:val="24"/>
          <w:szCs w:val="24"/>
        </w:rPr>
        <w:t>1</w:t>
      </w:r>
      <w:r w:rsidR="00386DF1">
        <w:rPr>
          <w:rFonts w:ascii="Times New Roman" w:eastAsia="宋体" w:hAnsi="Times New Roman" w:cs="Times New Roman" w:hint="eastAsia"/>
          <w:sz w:val="24"/>
          <w:szCs w:val="24"/>
        </w:rPr>
        <w:t>2</w:t>
      </w:r>
      <w:r w:rsidR="00BF02B2" w:rsidRPr="00BF02B2">
        <w:rPr>
          <w:rFonts w:ascii="Times New Roman" w:eastAsia="宋体" w:hAnsi="Times New Roman" w:cs="Times New Roman" w:hint="eastAsia"/>
          <w:sz w:val="24"/>
          <w:szCs w:val="24"/>
        </w:rPr>
        <w:t>月</w:t>
      </w:r>
      <w:r w:rsidR="00823951">
        <w:rPr>
          <w:rFonts w:ascii="Times New Roman" w:eastAsia="宋体" w:hAnsi="Times New Roman" w:cs="Times New Roman" w:hint="eastAsia"/>
          <w:sz w:val="24"/>
          <w:szCs w:val="24"/>
        </w:rPr>
        <w:t>16</w:t>
      </w:r>
      <w:proofErr w:type="gramStart"/>
      <w:r w:rsidR="006002D1">
        <w:rPr>
          <w:rFonts w:ascii="Times New Roman" w:eastAsia="宋体" w:hAnsi="Times New Roman" w:cs="Times New Roman" w:hint="eastAsia"/>
          <w:sz w:val="24"/>
          <w:szCs w:val="24"/>
        </w:rPr>
        <w:t>个</w:t>
      </w:r>
      <w:proofErr w:type="gramEnd"/>
      <w:r w:rsidR="002E5988">
        <w:rPr>
          <w:rFonts w:ascii="Times New Roman" w:eastAsia="宋体" w:hAnsi="Times New Roman" w:cs="Times New Roman" w:hint="eastAsia"/>
          <w:sz w:val="24"/>
          <w:szCs w:val="24"/>
        </w:rPr>
        <w:t>行业</w:t>
      </w:r>
      <w:r>
        <w:rPr>
          <w:rFonts w:ascii="Times New Roman" w:eastAsia="宋体" w:hAnsi="Times New Roman" w:cs="Times New Roman"/>
          <w:sz w:val="24"/>
          <w:szCs w:val="24"/>
        </w:rPr>
        <w:t>基于增加值人民币有效汇率</w:t>
      </w:r>
      <w:r>
        <w:rPr>
          <w:rFonts w:ascii="Times New Roman" w:eastAsia="宋体" w:hAnsi="Times New Roman" w:cs="Times New Roman" w:hint="eastAsia"/>
          <w:sz w:val="24"/>
          <w:szCs w:val="24"/>
        </w:rPr>
        <w:t>上月</w:t>
      </w:r>
      <w:r>
        <w:rPr>
          <w:rFonts w:ascii="Times New Roman" w:eastAsia="宋体" w:hAnsi="Times New Roman" w:cs="Times New Roman"/>
          <w:sz w:val="24"/>
          <w:szCs w:val="24"/>
        </w:rPr>
        <w:t>环比</w:t>
      </w:r>
      <w:r w:rsidR="00823951">
        <w:rPr>
          <w:rFonts w:ascii="Times New Roman" w:eastAsia="宋体" w:hAnsi="Times New Roman" w:cs="Times New Roman" w:hint="eastAsia"/>
          <w:sz w:val="24"/>
          <w:szCs w:val="24"/>
        </w:rPr>
        <w:t>升</w:t>
      </w:r>
      <w:r w:rsidR="004C61F1">
        <w:rPr>
          <w:rFonts w:ascii="Times New Roman" w:eastAsia="宋体" w:hAnsi="Times New Roman" w:cs="Times New Roman" w:hint="eastAsia"/>
          <w:sz w:val="24"/>
          <w:szCs w:val="24"/>
        </w:rPr>
        <w:t>值态势</w:t>
      </w:r>
      <w:r w:rsidR="00BE4C5C">
        <w:rPr>
          <w:rFonts w:ascii="Times New Roman" w:eastAsia="宋体" w:hAnsi="Times New Roman" w:cs="Times New Roman" w:hint="eastAsia"/>
          <w:sz w:val="24"/>
          <w:szCs w:val="24"/>
        </w:rPr>
        <w:t>和</w:t>
      </w:r>
      <w:r w:rsidR="00EE143F">
        <w:rPr>
          <w:rFonts w:ascii="Times New Roman" w:eastAsia="宋体" w:hAnsi="Times New Roman" w:cs="Times New Roman" w:hint="eastAsia"/>
          <w:sz w:val="24"/>
          <w:szCs w:val="24"/>
        </w:rPr>
        <w:t>加</w:t>
      </w:r>
      <w:proofErr w:type="gramStart"/>
      <w:r w:rsidR="00EE143F">
        <w:rPr>
          <w:rFonts w:ascii="Times New Roman" w:eastAsia="宋体" w:hAnsi="Times New Roman" w:cs="Times New Roman" w:hint="eastAsia"/>
          <w:sz w:val="24"/>
          <w:szCs w:val="24"/>
        </w:rPr>
        <w:t>总以及</w:t>
      </w:r>
      <w:proofErr w:type="gramEnd"/>
      <w:r w:rsidR="00EE143F">
        <w:rPr>
          <w:rFonts w:ascii="Times New Roman" w:eastAsia="宋体" w:hAnsi="Times New Roman" w:cs="Times New Roman" w:hint="eastAsia"/>
          <w:sz w:val="24"/>
          <w:szCs w:val="24"/>
        </w:rPr>
        <w:t>BIS</w:t>
      </w:r>
      <w:r w:rsidR="006C0701">
        <w:rPr>
          <w:rFonts w:ascii="Times New Roman" w:eastAsia="宋体" w:hAnsi="Times New Roman" w:cs="Times New Roman" w:hint="eastAsia"/>
          <w:sz w:val="24"/>
          <w:szCs w:val="24"/>
        </w:rPr>
        <w:t>有效</w:t>
      </w:r>
      <w:proofErr w:type="gramStart"/>
      <w:r w:rsidR="006C0701">
        <w:rPr>
          <w:rFonts w:ascii="Times New Roman" w:eastAsia="宋体" w:hAnsi="Times New Roman" w:cs="Times New Roman" w:hint="eastAsia"/>
          <w:sz w:val="24"/>
          <w:szCs w:val="24"/>
        </w:rPr>
        <w:t>汇率</w:t>
      </w:r>
      <w:r w:rsidR="00823951">
        <w:rPr>
          <w:rFonts w:ascii="Times New Roman" w:eastAsia="宋体" w:hAnsi="Times New Roman" w:cs="Times New Roman" w:hint="eastAsia"/>
          <w:sz w:val="24"/>
          <w:szCs w:val="24"/>
        </w:rPr>
        <w:t>环</w:t>
      </w:r>
      <w:proofErr w:type="gramEnd"/>
      <w:r w:rsidR="00823951">
        <w:rPr>
          <w:rFonts w:ascii="Times New Roman" w:eastAsia="宋体" w:hAnsi="Times New Roman" w:cs="Times New Roman" w:hint="eastAsia"/>
          <w:sz w:val="24"/>
          <w:szCs w:val="24"/>
        </w:rPr>
        <w:t>比升</w:t>
      </w:r>
      <w:r w:rsidR="00EE143F">
        <w:rPr>
          <w:rFonts w:ascii="Times New Roman" w:eastAsia="宋体" w:hAnsi="Times New Roman" w:cs="Times New Roman" w:hint="eastAsia"/>
          <w:sz w:val="24"/>
          <w:szCs w:val="24"/>
        </w:rPr>
        <w:t>值</w:t>
      </w:r>
      <w:r>
        <w:rPr>
          <w:rFonts w:ascii="Times New Roman" w:eastAsia="宋体" w:hAnsi="Times New Roman" w:cs="Times New Roman"/>
          <w:sz w:val="24"/>
          <w:szCs w:val="24"/>
        </w:rPr>
        <w:t>态势</w:t>
      </w:r>
      <w:r w:rsidR="00EE143F">
        <w:rPr>
          <w:rFonts w:ascii="Times New Roman" w:eastAsia="宋体" w:hAnsi="Times New Roman" w:cs="Times New Roman" w:hint="eastAsia"/>
          <w:sz w:val="24"/>
          <w:szCs w:val="24"/>
        </w:rPr>
        <w:t>一致</w:t>
      </w:r>
      <w:r w:rsidR="006C0701">
        <w:rPr>
          <w:rFonts w:ascii="Times New Roman" w:eastAsia="宋体" w:hAnsi="Times New Roman" w:cs="Times New Roman" w:hint="eastAsia"/>
          <w:sz w:val="24"/>
          <w:szCs w:val="24"/>
        </w:rPr>
        <w:t>，</w:t>
      </w:r>
      <w:r w:rsidR="004C61F1">
        <w:rPr>
          <w:rFonts w:ascii="Times New Roman" w:eastAsia="宋体" w:hAnsi="Times New Roman" w:cs="Times New Roman" w:hint="eastAsia"/>
          <w:sz w:val="24"/>
          <w:szCs w:val="24"/>
        </w:rPr>
        <w:t>2</w:t>
      </w:r>
      <w:r w:rsidR="00823951">
        <w:rPr>
          <w:rFonts w:ascii="Times New Roman" w:eastAsia="宋体" w:hAnsi="Times New Roman" w:cs="Times New Roman" w:hint="eastAsia"/>
          <w:sz w:val="24"/>
          <w:szCs w:val="24"/>
        </w:rPr>
        <w:t>9</w:t>
      </w:r>
      <w:r w:rsidR="004C61F1">
        <w:rPr>
          <w:rFonts w:ascii="Times New Roman" w:eastAsia="宋体" w:hAnsi="Times New Roman" w:cs="Times New Roman" w:hint="eastAsia"/>
          <w:sz w:val="24"/>
          <w:szCs w:val="24"/>
        </w:rPr>
        <w:t>个</w:t>
      </w:r>
      <w:r w:rsidR="006C0701">
        <w:rPr>
          <w:rFonts w:ascii="Times New Roman" w:eastAsia="宋体" w:hAnsi="Times New Roman" w:cs="Times New Roman" w:hint="eastAsia"/>
          <w:sz w:val="24"/>
          <w:szCs w:val="24"/>
        </w:rPr>
        <w:t>行业上年同比</w:t>
      </w:r>
      <w:r w:rsidR="001A0A21">
        <w:rPr>
          <w:rFonts w:ascii="Times New Roman" w:eastAsia="宋体" w:hAnsi="Times New Roman" w:cs="Times New Roman" w:hint="eastAsia"/>
          <w:sz w:val="24"/>
          <w:szCs w:val="24"/>
        </w:rPr>
        <w:t>和加</w:t>
      </w:r>
      <w:proofErr w:type="gramStart"/>
      <w:r w:rsidR="001A0A21">
        <w:rPr>
          <w:rFonts w:ascii="Times New Roman" w:eastAsia="宋体" w:hAnsi="Times New Roman" w:cs="Times New Roman" w:hint="eastAsia"/>
          <w:sz w:val="24"/>
          <w:szCs w:val="24"/>
        </w:rPr>
        <w:t>总以及</w:t>
      </w:r>
      <w:proofErr w:type="gramEnd"/>
      <w:r w:rsidR="006C0701">
        <w:rPr>
          <w:rFonts w:ascii="Times New Roman" w:eastAsia="宋体" w:hAnsi="Times New Roman" w:cs="Times New Roman" w:hint="eastAsia"/>
          <w:sz w:val="24"/>
          <w:szCs w:val="24"/>
        </w:rPr>
        <w:t>有效汇率贬值态势一致</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和表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E5988">
        <w:rPr>
          <w:rFonts w:ascii="Times New Roman" w:eastAsia="宋体" w:hAnsi="Times New Roman" w:cs="Times New Roman" w:hint="eastAsia"/>
          <w:sz w:val="24"/>
          <w:szCs w:val="24"/>
        </w:rPr>
        <w:t>；</w:t>
      </w:r>
      <w:r>
        <w:rPr>
          <w:rFonts w:ascii="Times New Roman" w:eastAsia="宋体" w:hAnsi="Times New Roman" w:cs="Times New Roman"/>
          <w:sz w:val="24"/>
          <w:szCs w:val="24"/>
        </w:rPr>
        <w:t>环比最大差</w:t>
      </w:r>
      <w:r w:rsidRPr="00D33DCD">
        <w:rPr>
          <w:rFonts w:ascii="Times New Roman" w:eastAsia="宋体" w:hAnsi="Times New Roman" w:cs="Times New Roman"/>
          <w:sz w:val="24"/>
          <w:szCs w:val="24"/>
        </w:rPr>
        <w:t>异为</w:t>
      </w:r>
      <w:r w:rsidR="00823951">
        <w:rPr>
          <w:rFonts w:ascii="Times New Roman" w:eastAsia="宋体" w:hAnsi="Times New Roman" w:cs="Times New Roman" w:hint="eastAsia"/>
          <w:sz w:val="24"/>
          <w:szCs w:val="24"/>
        </w:rPr>
        <w:t>0.95</w:t>
      </w:r>
      <w:r w:rsidRPr="00D33DCD">
        <w:rPr>
          <w:rFonts w:ascii="Times New Roman" w:eastAsia="宋体" w:hAnsi="Times New Roman" w:cs="Times New Roman"/>
          <w:sz w:val="24"/>
          <w:szCs w:val="24"/>
        </w:rPr>
        <w:t>个</w:t>
      </w:r>
      <w:r>
        <w:rPr>
          <w:rFonts w:ascii="Times New Roman" w:eastAsia="宋体" w:hAnsi="Times New Roman" w:cs="Times New Roman"/>
          <w:sz w:val="24"/>
          <w:szCs w:val="24"/>
        </w:rPr>
        <w:t>百分点，同比最大差异为</w:t>
      </w:r>
      <w:r w:rsidR="00823951">
        <w:rPr>
          <w:rFonts w:ascii="Times New Roman" w:eastAsia="宋体" w:hAnsi="Times New Roman" w:cs="Times New Roman" w:hint="eastAsia"/>
          <w:sz w:val="24"/>
          <w:szCs w:val="24"/>
        </w:rPr>
        <w:t>5.01</w:t>
      </w:r>
      <w:r>
        <w:rPr>
          <w:rFonts w:ascii="Times New Roman" w:eastAsia="宋体" w:hAnsi="Times New Roman" w:cs="Times New Roman"/>
          <w:sz w:val="24"/>
          <w:szCs w:val="24"/>
        </w:rPr>
        <w:t>个百分点。环比</w:t>
      </w:r>
      <w:r w:rsidR="00823951">
        <w:rPr>
          <w:rFonts w:ascii="Times New Roman" w:eastAsia="宋体" w:hAnsi="Times New Roman" w:cs="Times New Roman" w:hint="eastAsia"/>
          <w:sz w:val="24"/>
          <w:szCs w:val="24"/>
        </w:rPr>
        <w:t>升</w:t>
      </w:r>
      <w:r w:rsidR="006C0701">
        <w:rPr>
          <w:rFonts w:ascii="Times New Roman" w:eastAsia="宋体" w:hAnsi="Times New Roman" w:cs="Times New Roman" w:hint="eastAsia"/>
          <w:sz w:val="24"/>
          <w:szCs w:val="24"/>
        </w:rPr>
        <w:t>值</w:t>
      </w:r>
      <w:r>
        <w:rPr>
          <w:rFonts w:ascii="Times New Roman" w:eastAsia="宋体" w:hAnsi="Times New Roman" w:cs="Times New Roman"/>
          <w:sz w:val="24"/>
          <w:szCs w:val="24"/>
        </w:rPr>
        <w:t>幅度最高的三个行业为</w:t>
      </w:r>
      <w:r w:rsidR="00264D6C">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公共管理和国防业；强制性社会保障</w:t>
      </w:r>
      <w:r w:rsidR="00264D6C">
        <w:rPr>
          <w:rFonts w:ascii="Times New Roman" w:eastAsia="宋体" w:hAnsi="Times New Roman" w:cs="Times New Roman"/>
          <w:sz w:val="24"/>
          <w:szCs w:val="24"/>
        </w:rPr>
        <w:t>”</w:t>
      </w:r>
      <w:r w:rsidR="00264D6C">
        <w:rPr>
          <w:rFonts w:ascii="Times New Roman" w:eastAsia="宋体" w:hAnsi="Times New Roman" w:cs="Times New Roman"/>
          <w:sz w:val="24"/>
          <w:szCs w:val="24"/>
        </w:rPr>
        <w:t>、</w:t>
      </w:r>
      <w:r w:rsidR="00264D6C">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其他制造业（含回收利用）</w:t>
      </w:r>
      <w:r w:rsidR="00264D6C">
        <w:rPr>
          <w:rFonts w:ascii="Times New Roman" w:eastAsia="宋体" w:hAnsi="Times New Roman" w:cs="Times New Roman"/>
          <w:sz w:val="24"/>
          <w:szCs w:val="24"/>
        </w:rPr>
        <w:t>”</w:t>
      </w:r>
      <w:r w:rsidR="00264D6C">
        <w:rPr>
          <w:rFonts w:ascii="Times New Roman" w:eastAsia="宋体" w:hAnsi="Times New Roman" w:cs="Times New Roman"/>
          <w:sz w:val="24"/>
          <w:szCs w:val="24"/>
        </w:rPr>
        <w:t>、</w:t>
      </w:r>
      <w:r w:rsidR="00264D6C">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皮革</w:t>
      </w:r>
      <w:r w:rsidR="00823951" w:rsidRPr="00823951">
        <w:rPr>
          <w:rFonts w:ascii="Times New Roman" w:eastAsia="宋体" w:hAnsi="Times New Roman" w:cs="Times New Roman"/>
          <w:sz w:val="24"/>
          <w:szCs w:val="24"/>
        </w:rPr>
        <w:t>,</w:t>
      </w:r>
      <w:r w:rsidR="00823951" w:rsidRPr="00823951">
        <w:rPr>
          <w:rFonts w:ascii="Times New Roman" w:eastAsia="宋体" w:hAnsi="Times New Roman" w:cs="Times New Roman"/>
          <w:sz w:val="24"/>
          <w:szCs w:val="24"/>
        </w:rPr>
        <w:t>皮革制品和鞋业</w:t>
      </w:r>
      <w:r w:rsidR="00264D6C">
        <w:rPr>
          <w:rFonts w:ascii="Times New Roman" w:eastAsia="宋体" w:hAnsi="Times New Roman" w:cs="Times New Roman"/>
          <w:sz w:val="24"/>
          <w:szCs w:val="24"/>
        </w:rPr>
        <w:t>”</w:t>
      </w:r>
      <w:r>
        <w:rPr>
          <w:rFonts w:ascii="Times New Roman" w:eastAsia="宋体" w:hAnsi="Times New Roman" w:cs="Times New Roman"/>
          <w:sz w:val="24"/>
          <w:szCs w:val="24"/>
        </w:rPr>
        <w:t>，环比</w:t>
      </w:r>
      <w:r w:rsidR="00264D6C">
        <w:rPr>
          <w:rFonts w:ascii="Times New Roman" w:eastAsia="宋体" w:hAnsi="Times New Roman" w:cs="Times New Roman" w:hint="eastAsia"/>
          <w:sz w:val="24"/>
          <w:szCs w:val="24"/>
        </w:rPr>
        <w:t>贬</w:t>
      </w:r>
      <w:r w:rsidR="001A0A21">
        <w:rPr>
          <w:rFonts w:ascii="Times New Roman" w:eastAsia="宋体" w:hAnsi="Times New Roman" w:cs="Times New Roman" w:hint="eastAsia"/>
          <w:sz w:val="24"/>
          <w:szCs w:val="24"/>
        </w:rPr>
        <w:t>值幅度最</w:t>
      </w:r>
      <w:r w:rsidR="00823951">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A40302">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酒店和餐饮业</w:t>
      </w:r>
      <w:r>
        <w:rPr>
          <w:rFonts w:ascii="Times New Roman" w:eastAsia="宋体" w:hAnsi="Times New Roman" w:cs="Times New Roman"/>
          <w:sz w:val="24"/>
          <w:szCs w:val="24"/>
        </w:rPr>
        <w:t>”</w:t>
      </w:r>
      <w:r w:rsidR="00A40302">
        <w:rPr>
          <w:rFonts w:ascii="Times New Roman" w:eastAsia="宋体" w:hAnsi="Times New Roman" w:cs="Times New Roman"/>
          <w:sz w:val="24"/>
          <w:szCs w:val="24"/>
        </w:rPr>
        <w:t>、</w:t>
      </w:r>
      <w:r w:rsidR="00A40302">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水路运输业</w:t>
      </w:r>
      <w:r w:rsidR="00A40302">
        <w:rPr>
          <w:rFonts w:ascii="Times New Roman" w:eastAsia="宋体" w:hAnsi="Times New Roman" w:cs="Times New Roman"/>
          <w:sz w:val="24"/>
          <w:szCs w:val="24"/>
        </w:rPr>
        <w:t>”</w:t>
      </w:r>
      <w:r w:rsidR="00A40302">
        <w:rPr>
          <w:rFonts w:ascii="Times New Roman" w:eastAsia="宋体" w:hAnsi="Times New Roman" w:cs="Times New Roman" w:hint="eastAsia"/>
          <w:sz w:val="24"/>
          <w:szCs w:val="24"/>
        </w:rPr>
        <w:t>、</w:t>
      </w:r>
      <w:r w:rsidR="00A40302">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建筑业</w:t>
      </w:r>
      <w:r w:rsidR="00A40302">
        <w:rPr>
          <w:rFonts w:ascii="Times New Roman" w:eastAsia="宋体" w:hAnsi="Times New Roman" w:cs="Times New Roman"/>
          <w:sz w:val="24"/>
          <w:szCs w:val="24"/>
        </w:rPr>
        <w:t>”</w:t>
      </w:r>
      <w:r>
        <w:rPr>
          <w:rFonts w:ascii="Times New Roman" w:eastAsia="宋体" w:hAnsi="Times New Roman" w:cs="Times New Roman"/>
          <w:sz w:val="24"/>
          <w:szCs w:val="24"/>
        </w:rPr>
        <w:t>。同比贬值幅度最</w:t>
      </w:r>
      <w:r>
        <w:rPr>
          <w:rFonts w:ascii="Times New Roman" w:eastAsia="宋体" w:hAnsi="Times New Roman" w:cs="Times New Roman" w:hint="eastAsia"/>
          <w:sz w:val="24"/>
          <w:szCs w:val="24"/>
        </w:rPr>
        <w:t>高</w:t>
      </w:r>
      <w:r>
        <w:rPr>
          <w:rFonts w:ascii="Times New Roman" w:eastAsia="宋体" w:hAnsi="Times New Roman" w:cs="Times New Roman"/>
          <w:sz w:val="24"/>
          <w:szCs w:val="24"/>
        </w:rPr>
        <w:t>的三个行业为</w:t>
      </w:r>
      <w:r w:rsidR="00264D6C">
        <w:rPr>
          <w:rFonts w:ascii="Times New Roman" w:eastAsia="宋体" w:hAnsi="Times New Roman" w:cs="Times New Roman"/>
          <w:sz w:val="24"/>
          <w:szCs w:val="24"/>
        </w:rPr>
        <w:t>“</w:t>
      </w:r>
      <w:r w:rsidR="00264D6C" w:rsidRPr="00264D6C">
        <w:rPr>
          <w:rFonts w:ascii="Times New Roman" w:eastAsia="宋体" w:hAnsi="Times New Roman" w:cs="Times New Roman" w:hint="eastAsia"/>
          <w:sz w:val="24"/>
          <w:szCs w:val="24"/>
        </w:rPr>
        <w:t>建筑业</w:t>
      </w:r>
      <w:r w:rsidR="00264D6C">
        <w:rPr>
          <w:rFonts w:ascii="Times New Roman" w:eastAsia="宋体" w:hAnsi="Times New Roman" w:cs="Times New Roman"/>
          <w:sz w:val="24"/>
          <w:szCs w:val="24"/>
        </w:rPr>
        <w:t>”</w:t>
      </w:r>
      <w:r w:rsidR="00264D6C">
        <w:rPr>
          <w:rFonts w:ascii="Times New Roman" w:eastAsia="宋体" w:hAnsi="Times New Roman" w:cs="Times New Roman"/>
          <w:sz w:val="24"/>
          <w:szCs w:val="24"/>
        </w:rPr>
        <w:t>、</w:t>
      </w:r>
      <w:r w:rsidR="00264D6C" w:rsidRPr="00A40302">
        <w:rPr>
          <w:rFonts w:ascii="Times New Roman" w:eastAsia="宋体" w:hAnsi="Times New Roman" w:cs="Times New Roman" w:hint="eastAsia"/>
          <w:sz w:val="24"/>
          <w:szCs w:val="24"/>
        </w:rPr>
        <w:t xml:space="preserve"> </w:t>
      </w:r>
      <w:r w:rsidR="00264D6C">
        <w:rPr>
          <w:rFonts w:ascii="Times New Roman" w:eastAsia="宋体" w:hAnsi="Times New Roman" w:cs="Times New Roman" w:hint="eastAsia"/>
          <w:sz w:val="24"/>
          <w:szCs w:val="24"/>
        </w:rPr>
        <w:t>“</w:t>
      </w:r>
      <w:r w:rsidR="00264D6C" w:rsidRPr="00264D6C">
        <w:rPr>
          <w:rFonts w:ascii="Times New Roman" w:eastAsia="宋体" w:hAnsi="Times New Roman" w:cs="Times New Roman" w:hint="eastAsia"/>
          <w:sz w:val="24"/>
          <w:szCs w:val="24"/>
        </w:rPr>
        <w:t>教育</w:t>
      </w:r>
      <w:r w:rsidR="00264D6C">
        <w:rPr>
          <w:rFonts w:ascii="Times New Roman" w:eastAsia="宋体" w:hAnsi="Times New Roman" w:cs="Times New Roman" w:hint="eastAsia"/>
          <w:sz w:val="24"/>
          <w:szCs w:val="24"/>
        </w:rPr>
        <w:t>”、</w:t>
      </w:r>
      <w:r w:rsidR="00264D6C" w:rsidRPr="00BE4C5C">
        <w:rPr>
          <w:rFonts w:ascii="Times New Roman" w:eastAsia="宋体" w:hAnsi="Times New Roman" w:cs="Times New Roman"/>
          <w:sz w:val="24"/>
          <w:szCs w:val="24"/>
        </w:rPr>
        <w:t xml:space="preserve"> </w:t>
      </w:r>
      <w:r w:rsidR="00264D6C">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其他制造业（含回收利用）</w:t>
      </w:r>
      <w:r w:rsidR="00264D6C">
        <w:rPr>
          <w:rFonts w:ascii="Times New Roman" w:eastAsia="宋体" w:hAnsi="Times New Roman" w:cs="Times New Roman"/>
          <w:sz w:val="24"/>
          <w:szCs w:val="24"/>
        </w:rPr>
        <w:t>”</w:t>
      </w:r>
      <w:r>
        <w:rPr>
          <w:rFonts w:ascii="Times New Roman" w:eastAsia="宋体" w:hAnsi="Times New Roman" w:cs="Times New Roman"/>
          <w:sz w:val="24"/>
          <w:szCs w:val="24"/>
        </w:rPr>
        <w:t>，同</w:t>
      </w:r>
      <w:r w:rsidR="001A0A21">
        <w:rPr>
          <w:rFonts w:ascii="Times New Roman" w:eastAsia="宋体" w:hAnsi="Times New Roman" w:cs="Times New Roman" w:hint="eastAsia"/>
          <w:sz w:val="24"/>
          <w:szCs w:val="24"/>
        </w:rPr>
        <w:t>比升值幅度最高</w:t>
      </w:r>
      <w:r>
        <w:rPr>
          <w:rFonts w:ascii="Times New Roman" w:eastAsia="宋体" w:hAnsi="Times New Roman" w:cs="Times New Roman"/>
          <w:sz w:val="24"/>
          <w:szCs w:val="24"/>
        </w:rPr>
        <w:t>的三个行业为</w:t>
      </w:r>
      <w:r w:rsidR="006C0701">
        <w:rPr>
          <w:rFonts w:ascii="Times New Roman" w:eastAsia="宋体" w:hAnsi="Times New Roman" w:cs="Times New Roman"/>
          <w:sz w:val="24"/>
          <w:szCs w:val="24"/>
        </w:rPr>
        <w:t xml:space="preserve"> </w:t>
      </w:r>
      <w:r w:rsidR="00BE4C5C">
        <w:rPr>
          <w:rFonts w:ascii="Times New Roman" w:eastAsia="宋体" w:hAnsi="Times New Roman" w:cs="Times New Roman"/>
          <w:sz w:val="24"/>
          <w:szCs w:val="24"/>
        </w:rPr>
        <w:t>“</w:t>
      </w:r>
      <w:r w:rsidR="00264D6C" w:rsidRPr="00264D6C">
        <w:rPr>
          <w:rFonts w:ascii="Times New Roman" w:eastAsia="宋体" w:hAnsi="Times New Roman" w:cs="Times New Roman" w:hint="eastAsia"/>
          <w:sz w:val="24"/>
          <w:szCs w:val="24"/>
        </w:rPr>
        <w:t>采矿和采石业</w:t>
      </w:r>
      <w:r w:rsidR="00BE4C5C">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87353E">
        <w:rPr>
          <w:rFonts w:ascii="Times New Roman" w:eastAsia="宋体" w:hAnsi="Times New Roman" w:cs="Times New Roman"/>
          <w:sz w:val="24"/>
          <w:szCs w:val="24"/>
        </w:rPr>
        <w:t xml:space="preserve"> </w:t>
      </w:r>
      <w:r w:rsidR="006C0701">
        <w:rPr>
          <w:rFonts w:ascii="Times New Roman" w:eastAsia="宋体" w:hAnsi="Times New Roman" w:cs="Times New Roman"/>
          <w:sz w:val="24"/>
          <w:szCs w:val="24"/>
        </w:rPr>
        <w:t>“</w:t>
      </w:r>
      <w:r w:rsidR="00AD0AB1" w:rsidRPr="00AD0AB1">
        <w:rPr>
          <w:rFonts w:ascii="Times New Roman" w:eastAsia="宋体" w:hAnsi="Times New Roman" w:cs="Times New Roman" w:hint="eastAsia"/>
          <w:sz w:val="24"/>
          <w:szCs w:val="24"/>
        </w:rPr>
        <w:t>石油加工、炼焦及核燃料加工业</w:t>
      </w:r>
      <w:r w:rsidR="006C0701">
        <w:rPr>
          <w:rFonts w:ascii="Times New Roman" w:eastAsia="宋体" w:hAnsi="Times New Roman" w:cs="Times New Roman"/>
          <w:sz w:val="24"/>
          <w:szCs w:val="24"/>
        </w:rPr>
        <w:t>”</w:t>
      </w:r>
      <w:r w:rsidR="006C0701">
        <w:rPr>
          <w:rFonts w:ascii="Times New Roman" w:eastAsia="宋体" w:hAnsi="Times New Roman" w:cs="Times New Roman"/>
          <w:sz w:val="24"/>
          <w:szCs w:val="24"/>
        </w:rPr>
        <w:t>、</w:t>
      </w:r>
      <w:r w:rsidR="00BE4C5C">
        <w:rPr>
          <w:rFonts w:ascii="Times New Roman" w:eastAsia="宋体" w:hAnsi="Times New Roman" w:cs="Times New Roman"/>
          <w:sz w:val="24"/>
          <w:szCs w:val="24"/>
        </w:rPr>
        <w:t>“</w:t>
      </w:r>
      <w:r w:rsidR="00823951" w:rsidRPr="00823951">
        <w:rPr>
          <w:rFonts w:ascii="Times New Roman" w:eastAsia="宋体" w:hAnsi="Times New Roman" w:cs="Times New Roman" w:hint="eastAsia"/>
          <w:sz w:val="24"/>
          <w:szCs w:val="24"/>
        </w:rPr>
        <w:t>纺织材料和纺织制品业</w:t>
      </w:r>
      <w:r w:rsidR="00BE4C5C">
        <w:rPr>
          <w:rFonts w:ascii="Times New Roman" w:eastAsia="宋体" w:hAnsi="Times New Roman" w:cs="Times New Roman"/>
          <w:sz w:val="24"/>
          <w:szCs w:val="24"/>
        </w:rPr>
        <w:t>”</w:t>
      </w:r>
      <w:r>
        <w:rPr>
          <w:rFonts w:ascii="Times New Roman" w:eastAsia="宋体" w:hAnsi="Times New Roman" w:cs="Times New Roman"/>
          <w:sz w:val="24"/>
          <w:szCs w:val="24"/>
        </w:rPr>
        <w:t>。</w:t>
      </w:r>
    </w:p>
    <w:p w14:paraId="5B5F7D32" w14:textId="77777777" w:rsidR="00963E97" w:rsidRPr="001A0A21" w:rsidRDefault="00963E97">
      <w:pPr>
        <w:spacing w:line="360" w:lineRule="auto"/>
        <w:ind w:firstLine="420"/>
        <w:jc w:val="right"/>
        <w:rPr>
          <w:rFonts w:ascii="Times New Roman" w:eastAsia="宋体" w:hAnsi="Times New Roman" w:cs="Times New Roman"/>
          <w:sz w:val="24"/>
          <w:szCs w:val="24"/>
        </w:rPr>
      </w:pPr>
    </w:p>
    <w:p w14:paraId="7952DB4D" w14:textId="77777777" w:rsidR="00963E97" w:rsidRDefault="00DD286C">
      <w:pPr>
        <w:spacing w:line="360" w:lineRule="auto"/>
        <w:ind w:firstLine="420"/>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（完整版数据请访问：</w:t>
      </w:r>
      <w:hyperlink r:id="rId8" w:history="1">
        <w:r>
          <w:rPr>
            <w:rStyle w:val="aa"/>
            <w:rFonts w:ascii="Times New Roman" w:eastAsia="宋体" w:hAnsi="Times New Roman" w:cs="Times New Roman"/>
            <w:sz w:val="24"/>
            <w:szCs w:val="24"/>
          </w:rPr>
          <w:t>http://iwep.org.cn/iwepheer/</w:t>
        </w:r>
      </w:hyperlink>
      <w:r>
        <w:rPr>
          <w:rFonts w:ascii="Times New Roman" w:eastAsia="宋体" w:hAnsi="Times New Roman" w:cs="Times New Roman" w:hint="eastAsia"/>
          <w:sz w:val="24"/>
          <w:szCs w:val="24"/>
        </w:rPr>
        <w:t>）</w:t>
      </w:r>
    </w:p>
    <w:p w14:paraId="7AB407A3" w14:textId="77777777"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4A5A27">
        <w:rPr>
          <w:rFonts w:ascii="黑体" w:hAnsi="黑体" w:cs="Times New Roman"/>
        </w:rPr>
        <w:fldChar w:fldCharType="begin"/>
      </w:r>
      <w:r>
        <w:rPr>
          <w:rFonts w:ascii="黑体" w:hAnsi="黑体" w:cs="Times New Roman"/>
        </w:rPr>
        <w:instrText xml:space="preserve"> SEQ 图 \* ARABIC </w:instrText>
      </w:r>
      <w:r w:rsidR="004A5A27">
        <w:rPr>
          <w:rFonts w:ascii="黑体" w:hAnsi="黑体" w:cs="Times New Roman"/>
        </w:rPr>
        <w:fldChar w:fldCharType="separate"/>
      </w:r>
      <w:r>
        <w:rPr>
          <w:rFonts w:ascii="黑体" w:hAnsi="黑体" w:cs="Times New Roman"/>
        </w:rPr>
        <w:t>1</w:t>
      </w:r>
      <w:r w:rsidR="004A5A27">
        <w:rPr>
          <w:rFonts w:ascii="黑体" w:hAnsi="黑体" w:cs="Times New Roman"/>
        </w:rPr>
        <w:fldChar w:fldCharType="end"/>
      </w:r>
      <w:r>
        <w:rPr>
          <w:rFonts w:ascii="黑体" w:hAnsi="黑体" w:cs="Times New Roman"/>
        </w:rPr>
        <w:t xml:space="preserve"> 加总的基于增加值人民币有效汇率与主要传统有效汇率指数走势比较</w:t>
      </w:r>
    </w:p>
    <w:p w14:paraId="1C0607A1" w14:textId="2F477B69" w:rsidR="00CB33FE" w:rsidRDefault="00386DF1">
      <w:pPr>
        <w:spacing w:line="360" w:lineRule="auto"/>
        <w:ind w:firstLine="420"/>
        <w:rPr>
          <w:rFonts w:ascii="Times New Roman" w:eastAsia="宋体" w:hAnsi="Times New Roman" w:cs="Times New Roman"/>
          <w:sz w:val="24"/>
          <w:szCs w:val="24"/>
        </w:rPr>
      </w:pPr>
      <w:r>
        <w:rPr>
          <w:noProof/>
        </w:rPr>
        <w:drawing>
          <wp:inline distT="0" distB="0" distL="0" distR="0" wp14:anchorId="645643DC" wp14:editId="64AB4FF1">
            <wp:extent cx="5274310" cy="3790315"/>
            <wp:effectExtent l="0" t="0" r="0" b="0"/>
            <wp:docPr id="23819393" name="图表 1">
              <a:extLst xmlns:a="http://schemas.openxmlformats.org/drawingml/2006/main">
                <a:ext uri="{FF2B5EF4-FFF2-40B4-BE49-F238E27FC236}">
                  <a16:creationId xmlns:a16="http://schemas.microsoft.com/office/drawing/2014/main" id="{00000000-0008-0000-0300-000001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0B9FBE" w14:textId="5E1AB72F"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说明：上升代表升值，下降代表贬值，增加值和</w:t>
      </w:r>
      <w:r>
        <w:rPr>
          <w:rFonts w:ascii="Times New Roman" w:eastAsia="宋体" w:hAnsi="Times New Roman" w:cs="Times New Roman"/>
          <w:sz w:val="18"/>
          <w:szCs w:val="18"/>
        </w:rPr>
        <w:t>BIS</w:t>
      </w:r>
      <w:r>
        <w:rPr>
          <w:rFonts w:ascii="Times New Roman" w:eastAsia="宋体" w:hAnsi="Times New Roman" w:cs="Times New Roman" w:hint="eastAsia"/>
          <w:sz w:val="18"/>
          <w:szCs w:val="18"/>
        </w:rPr>
        <w:t>有效汇率基期为</w:t>
      </w:r>
      <w:r>
        <w:rPr>
          <w:rFonts w:ascii="Times New Roman" w:eastAsia="宋体" w:hAnsi="Times New Roman" w:cs="Times New Roman"/>
          <w:sz w:val="18"/>
          <w:szCs w:val="18"/>
        </w:rPr>
        <w:t>2010</w:t>
      </w:r>
      <w:r>
        <w:rPr>
          <w:rFonts w:ascii="Times New Roman" w:eastAsia="宋体" w:hAnsi="Times New Roman" w:cs="Times New Roman" w:hint="eastAsia"/>
          <w:sz w:val="18"/>
          <w:szCs w:val="18"/>
        </w:rPr>
        <w:t>年，人民币汇率指数基期为</w:t>
      </w:r>
      <w:r>
        <w:rPr>
          <w:rFonts w:ascii="Times New Roman" w:eastAsia="宋体" w:hAnsi="Times New Roman" w:cs="Times New Roman"/>
          <w:sz w:val="18"/>
          <w:szCs w:val="18"/>
        </w:rPr>
        <w:t>2014</w:t>
      </w:r>
      <w:r>
        <w:rPr>
          <w:rFonts w:ascii="Times New Roman" w:eastAsia="宋体" w:hAnsi="Times New Roman" w:cs="Times New Roman" w:hint="eastAsia"/>
          <w:sz w:val="18"/>
          <w:szCs w:val="18"/>
        </w:rPr>
        <w:t>年。人民币汇率指数也公布基于</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货币篮子的数据，但这里仍然采用的是</w:t>
      </w:r>
      <w:r>
        <w:rPr>
          <w:rFonts w:ascii="Times New Roman" w:eastAsia="宋体" w:hAnsi="Times New Roman" w:cs="Times New Roman" w:hint="eastAsia"/>
          <w:sz w:val="18"/>
          <w:szCs w:val="18"/>
        </w:rPr>
        <w:t>BIS</w:t>
      </w:r>
      <w:r>
        <w:rPr>
          <w:rFonts w:ascii="Times New Roman" w:eastAsia="宋体" w:hAnsi="Times New Roman" w:cs="Times New Roman" w:hint="eastAsia"/>
          <w:sz w:val="18"/>
          <w:szCs w:val="18"/>
        </w:rPr>
        <w:t>公布的原始数据。</w:t>
      </w:r>
    </w:p>
    <w:p w14:paraId="35FBDBCB" w14:textId="77777777"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r>
        <w:rPr>
          <w:rFonts w:ascii="Times New Roman" w:eastAsia="宋体" w:hAnsi="Times New Roman" w:cs="Times New Roman" w:hint="eastAsia"/>
          <w:sz w:val="18"/>
          <w:szCs w:val="18"/>
        </w:rPr>
        <w:t>CEIC</w:t>
      </w:r>
    </w:p>
    <w:p w14:paraId="1A2BD530" w14:textId="77777777" w:rsidR="00963E97" w:rsidRDefault="00963E97">
      <w:pPr>
        <w:spacing w:line="360" w:lineRule="auto"/>
        <w:rPr>
          <w:rFonts w:ascii="Times New Roman" w:eastAsia="宋体" w:hAnsi="Times New Roman" w:cs="Times New Roman"/>
          <w:sz w:val="24"/>
          <w:szCs w:val="24"/>
        </w:rPr>
      </w:pPr>
    </w:p>
    <w:p w14:paraId="1E9E5A99" w14:textId="77777777" w:rsidR="00963E97" w:rsidRDefault="00DD286C">
      <w:pPr>
        <w:pStyle w:val="a3"/>
        <w:keepNext/>
        <w:jc w:val="center"/>
        <w:rPr>
          <w:rFonts w:ascii="黑体" w:hAnsi="黑体" w:cs="Times New Roman"/>
        </w:rPr>
      </w:pPr>
      <w:r>
        <w:rPr>
          <w:rFonts w:ascii="黑体" w:hAnsi="黑体" w:cs="Times New Roman"/>
        </w:rPr>
        <w:lastRenderedPageBreak/>
        <w:t xml:space="preserve">图 </w:t>
      </w:r>
      <w:r w:rsidR="004A5A27">
        <w:rPr>
          <w:rFonts w:ascii="黑体" w:hAnsi="黑体" w:cs="Times New Roman"/>
        </w:rPr>
        <w:fldChar w:fldCharType="begin"/>
      </w:r>
      <w:r>
        <w:rPr>
          <w:rFonts w:ascii="黑体" w:hAnsi="黑体" w:cs="Times New Roman"/>
        </w:rPr>
        <w:instrText xml:space="preserve"> SEQ 图 \* ARABIC </w:instrText>
      </w:r>
      <w:r w:rsidR="004A5A27">
        <w:rPr>
          <w:rFonts w:ascii="黑体" w:hAnsi="黑体" w:cs="Times New Roman"/>
        </w:rPr>
        <w:fldChar w:fldCharType="separate"/>
      </w:r>
      <w:r>
        <w:rPr>
          <w:rFonts w:ascii="黑体" w:hAnsi="黑体" w:cs="Times New Roman"/>
        </w:rPr>
        <w:t>2</w:t>
      </w:r>
      <w:r w:rsidR="004A5A27">
        <w:rPr>
          <w:rFonts w:ascii="黑体" w:hAnsi="黑体" w:cs="Times New Roman"/>
        </w:rPr>
        <w:fldChar w:fldCharType="end"/>
      </w:r>
      <w:r>
        <w:rPr>
          <w:rFonts w:ascii="黑体" w:hAnsi="黑体" w:cs="Times New Roman"/>
        </w:rPr>
        <w:t>基于增加值人民币有效汇率：可贸易品vs不可贸易品</w:t>
      </w:r>
    </w:p>
    <w:p w14:paraId="3C064FFC" w14:textId="4BD17CCB" w:rsidR="00963E97" w:rsidRDefault="007A065F">
      <w:pPr>
        <w:spacing w:line="360" w:lineRule="auto"/>
        <w:jc w:val="center"/>
        <w:rPr>
          <w:rFonts w:ascii="Times New Roman" w:eastAsia="宋体" w:hAnsi="Times New Roman" w:cs="Times New Roman"/>
          <w:sz w:val="24"/>
          <w:szCs w:val="24"/>
        </w:rPr>
      </w:pPr>
      <w:r>
        <w:rPr>
          <w:noProof/>
        </w:rPr>
        <w:drawing>
          <wp:inline distT="0" distB="0" distL="0" distR="0" wp14:anchorId="3EAD5F39" wp14:editId="5D1702AA">
            <wp:extent cx="5274310" cy="3332480"/>
            <wp:effectExtent l="0" t="0" r="0" b="0"/>
            <wp:docPr id="114363308" name="图表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375D6C" w14:textId="77777777"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说明：上升代表升值，下降代表贬值。</w:t>
      </w:r>
    </w:p>
    <w:p w14:paraId="3C07E122" w14:textId="77777777" w:rsidR="00963E97" w:rsidRDefault="00DD286C">
      <w:pPr>
        <w:spacing w:line="360" w:lineRule="auto"/>
        <w:ind w:firstLine="420"/>
        <w:rPr>
          <w:rFonts w:ascii="Times New Roman" w:eastAsia="宋体" w:hAnsi="Times New Roman" w:cs="Times New Roman"/>
          <w:sz w:val="24"/>
          <w:szCs w:val="24"/>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w:t>
      </w:r>
    </w:p>
    <w:p w14:paraId="1554BA95" w14:textId="77777777" w:rsidR="00963E97" w:rsidRDefault="00963E97">
      <w:pPr>
        <w:spacing w:line="360" w:lineRule="auto"/>
        <w:ind w:firstLine="420"/>
        <w:rPr>
          <w:rFonts w:ascii="Times New Roman" w:eastAsia="宋体" w:hAnsi="Times New Roman" w:cs="Times New Roman"/>
          <w:sz w:val="24"/>
          <w:szCs w:val="24"/>
        </w:rPr>
      </w:pPr>
    </w:p>
    <w:p w14:paraId="6E86A8D0" w14:textId="3C0D40CE" w:rsidR="00963E97" w:rsidRDefault="00DD286C">
      <w:pPr>
        <w:pStyle w:val="a3"/>
        <w:keepNext/>
        <w:jc w:val="center"/>
      </w:pPr>
      <w:r>
        <w:t>表</w:t>
      </w:r>
      <w:r>
        <w:t xml:space="preserve"> </w:t>
      </w:r>
      <w:r w:rsidR="004A5A27">
        <w:fldChar w:fldCharType="begin"/>
      </w:r>
      <w:r>
        <w:instrText xml:space="preserve"> SEQ </w:instrText>
      </w:r>
      <w:r>
        <w:instrText>表格</w:instrText>
      </w:r>
      <w:r>
        <w:instrText xml:space="preserve"> \* ARABIC </w:instrText>
      </w:r>
      <w:r w:rsidR="004A5A27">
        <w:fldChar w:fldCharType="separate"/>
      </w:r>
      <w:r>
        <w:t>1</w:t>
      </w:r>
      <w:r w:rsidR="004A5A27">
        <w:fldChar w:fldCharType="end"/>
      </w:r>
      <w:r>
        <w:t xml:space="preserve"> </w:t>
      </w:r>
      <w:r>
        <w:rPr>
          <w:rFonts w:hint="eastAsia"/>
        </w:rPr>
        <w:t>分行业基于增加值人民币有效</w:t>
      </w:r>
      <w:proofErr w:type="gramStart"/>
      <w:r>
        <w:rPr>
          <w:rFonts w:hint="eastAsia"/>
        </w:rPr>
        <w:t>汇率环</w:t>
      </w:r>
      <w:proofErr w:type="gramEnd"/>
      <w:r>
        <w:rPr>
          <w:rFonts w:hint="eastAsia"/>
        </w:rPr>
        <w:t>比变动（</w:t>
      </w:r>
      <w:r>
        <w:rPr>
          <w:rFonts w:hint="eastAsia"/>
        </w:rPr>
        <w:t>20</w:t>
      </w:r>
      <w:r w:rsidR="00EE143F">
        <w:rPr>
          <w:rFonts w:hint="eastAsia"/>
        </w:rPr>
        <w:t>2</w:t>
      </w:r>
      <w:r w:rsidR="000205AA">
        <w:rPr>
          <w:rFonts w:hint="eastAsia"/>
        </w:rPr>
        <w:t>3</w:t>
      </w:r>
      <w:r>
        <w:rPr>
          <w:rFonts w:hint="eastAsia"/>
        </w:rPr>
        <w:t>年</w:t>
      </w:r>
      <w:r w:rsidR="000205AA">
        <w:rPr>
          <w:rFonts w:hint="eastAsia"/>
        </w:rPr>
        <w:t>1</w:t>
      </w:r>
      <w:r w:rsidR="00823951">
        <w:rPr>
          <w:rFonts w:hint="eastAsia"/>
        </w:rPr>
        <w:t>2</w:t>
      </w:r>
      <w:r>
        <w:rPr>
          <w:rFonts w:hint="eastAsia"/>
        </w:rPr>
        <w:t>月）</w:t>
      </w:r>
    </w:p>
    <w:tbl>
      <w:tblPr>
        <w:tblW w:w="5676" w:type="dxa"/>
        <w:jc w:val="center"/>
        <w:tblLook w:val="04A0" w:firstRow="1" w:lastRow="0" w:firstColumn="1" w:lastColumn="0" w:noHBand="0" w:noVBand="1"/>
      </w:tblPr>
      <w:tblGrid>
        <w:gridCol w:w="4497"/>
        <w:gridCol w:w="1179"/>
      </w:tblGrid>
      <w:tr w:rsidR="00823951" w:rsidRPr="00823951" w14:paraId="66A655F4" w14:textId="77777777" w:rsidTr="00823951">
        <w:trPr>
          <w:trHeight w:val="280"/>
          <w:jc w:val="center"/>
        </w:trPr>
        <w:tc>
          <w:tcPr>
            <w:tcW w:w="4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4460F" w14:textId="77777777" w:rsidR="00823951" w:rsidRPr="00823951" w:rsidRDefault="00823951" w:rsidP="00823951">
            <w:pPr>
              <w:widowControl/>
              <w:jc w:val="center"/>
              <w:rPr>
                <w:rFonts w:ascii="宋体" w:eastAsia="宋体" w:hAnsi="宋体" w:cs="宋体"/>
                <w:b/>
                <w:bCs/>
                <w:color w:val="000000"/>
                <w:kern w:val="0"/>
                <w:szCs w:val="21"/>
              </w:rPr>
            </w:pPr>
            <w:r w:rsidRPr="00823951">
              <w:rPr>
                <w:rFonts w:ascii="宋体" w:eastAsia="宋体" w:hAnsi="宋体" w:cs="宋体" w:hint="eastAsia"/>
                <w:b/>
                <w:bCs/>
                <w:color w:val="000000"/>
                <w:kern w:val="0"/>
                <w:szCs w:val="21"/>
              </w:rPr>
              <w:t>行业</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5E90735B" w14:textId="77777777" w:rsidR="00823951" w:rsidRPr="00823951" w:rsidRDefault="00823951" w:rsidP="00823951">
            <w:pPr>
              <w:widowControl/>
              <w:jc w:val="center"/>
              <w:rPr>
                <w:rFonts w:ascii="Times New Roman" w:eastAsia="等线" w:hAnsi="Times New Roman" w:cs="Times New Roman" w:hint="eastAsia"/>
                <w:b/>
                <w:bCs/>
                <w:color w:val="000000"/>
                <w:kern w:val="0"/>
                <w:szCs w:val="21"/>
              </w:rPr>
            </w:pPr>
            <w:r w:rsidRPr="00823951">
              <w:rPr>
                <w:rFonts w:ascii="Times New Roman" w:eastAsia="等线" w:hAnsi="Times New Roman" w:cs="Times New Roman"/>
                <w:b/>
                <w:bCs/>
                <w:color w:val="000000"/>
                <w:kern w:val="0"/>
                <w:szCs w:val="21"/>
              </w:rPr>
              <w:t>上月环比</w:t>
            </w:r>
          </w:p>
        </w:tc>
      </w:tr>
      <w:tr w:rsidR="00823951" w:rsidRPr="00823951" w14:paraId="15E1BFF6" w14:textId="77777777" w:rsidTr="00823951">
        <w:trPr>
          <w:trHeight w:val="56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163C6110" w14:textId="77777777" w:rsidR="00823951" w:rsidRPr="00823951" w:rsidRDefault="00823951" w:rsidP="00823951">
            <w:pPr>
              <w:widowControl/>
              <w:jc w:val="center"/>
              <w:rPr>
                <w:rFonts w:ascii="等线" w:eastAsia="等线" w:hAnsi="等线" w:cs="宋体"/>
                <w:color w:val="000000"/>
                <w:kern w:val="0"/>
                <w:sz w:val="22"/>
              </w:rPr>
            </w:pPr>
            <w:r w:rsidRPr="00823951">
              <w:rPr>
                <w:rFonts w:ascii="等线" w:eastAsia="等线" w:hAnsi="等线" w:cs="宋体" w:hint="eastAsia"/>
                <w:color w:val="000000"/>
                <w:kern w:val="0"/>
                <w:sz w:val="22"/>
              </w:rPr>
              <w:t>公共管理和国防业；强制性社会保障</w:t>
            </w:r>
          </w:p>
        </w:tc>
        <w:tc>
          <w:tcPr>
            <w:tcW w:w="1179" w:type="dxa"/>
            <w:tcBorders>
              <w:top w:val="nil"/>
              <w:left w:val="nil"/>
              <w:bottom w:val="single" w:sz="4" w:space="0" w:color="auto"/>
              <w:right w:val="single" w:sz="4" w:space="0" w:color="auto"/>
            </w:tcBorders>
            <w:shd w:val="clear" w:color="auto" w:fill="auto"/>
            <w:vAlign w:val="center"/>
            <w:hideMark/>
          </w:tcPr>
          <w:p w14:paraId="25645A1D"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0.60%</w:t>
            </w:r>
          </w:p>
        </w:tc>
      </w:tr>
      <w:tr w:rsidR="00823951" w:rsidRPr="00823951" w14:paraId="36416EEE"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108E076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其他制造业（含回收利用）</w:t>
            </w:r>
          </w:p>
        </w:tc>
        <w:tc>
          <w:tcPr>
            <w:tcW w:w="1179" w:type="dxa"/>
            <w:tcBorders>
              <w:top w:val="nil"/>
              <w:left w:val="nil"/>
              <w:bottom w:val="single" w:sz="4" w:space="0" w:color="auto"/>
              <w:right w:val="single" w:sz="4" w:space="0" w:color="auto"/>
            </w:tcBorders>
            <w:shd w:val="clear" w:color="auto" w:fill="auto"/>
            <w:vAlign w:val="center"/>
            <w:hideMark/>
          </w:tcPr>
          <w:p w14:paraId="33BEB56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0.36%</w:t>
            </w:r>
          </w:p>
        </w:tc>
      </w:tr>
      <w:tr w:rsidR="00823951" w:rsidRPr="00823951" w14:paraId="54EB8A8E"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074983B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皮革,皮革制品和鞋业</w:t>
            </w:r>
          </w:p>
        </w:tc>
        <w:tc>
          <w:tcPr>
            <w:tcW w:w="1179" w:type="dxa"/>
            <w:tcBorders>
              <w:top w:val="nil"/>
              <w:left w:val="nil"/>
              <w:bottom w:val="single" w:sz="4" w:space="0" w:color="auto"/>
              <w:right w:val="single" w:sz="4" w:space="0" w:color="auto"/>
            </w:tcBorders>
            <w:shd w:val="clear" w:color="auto" w:fill="auto"/>
            <w:vAlign w:val="center"/>
            <w:hideMark/>
          </w:tcPr>
          <w:p w14:paraId="2A4FDD5A"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0.31%</w:t>
            </w:r>
          </w:p>
        </w:tc>
      </w:tr>
      <w:tr w:rsidR="00823951" w:rsidRPr="00823951" w14:paraId="61DDA893"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6B2F40A6"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纺织材料和纺织制品业</w:t>
            </w:r>
          </w:p>
        </w:tc>
        <w:tc>
          <w:tcPr>
            <w:tcW w:w="1179" w:type="dxa"/>
            <w:tcBorders>
              <w:top w:val="nil"/>
              <w:left w:val="nil"/>
              <w:bottom w:val="single" w:sz="4" w:space="0" w:color="auto"/>
              <w:right w:val="single" w:sz="4" w:space="0" w:color="auto"/>
            </w:tcBorders>
            <w:shd w:val="clear" w:color="auto" w:fill="auto"/>
            <w:vAlign w:val="center"/>
            <w:hideMark/>
          </w:tcPr>
          <w:p w14:paraId="0ED0230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0.28%</w:t>
            </w:r>
          </w:p>
        </w:tc>
      </w:tr>
      <w:tr w:rsidR="00823951" w:rsidRPr="00823951" w14:paraId="5B3C1194"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00FF00"/>
            <w:vAlign w:val="center"/>
            <w:hideMark/>
          </w:tcPr>
          <w:p w14:paraId="0F98FD1A"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农林牧渔业</w:t>
            </w:r>
          </w:p>
        </w:tc>
        <w:tc>
          <w:tcPr>
            <w:tcW w:w="1179" w:type="dxa"/>
            <w:tcBorders>
              <w:top w:val="nil"/>
              <w:left w:val="nil"/>
              <w:bottom w:val="single" w:sz="4" w:space="0" w:color="auto"/>
              <w:right w:val="single" w:sz="4" w:space="0" w:color="auto"/>
            </w:tcBorders>
            <w:shd w:val="clear" w:color="auto" w:fill="auto"/>
            <w:vAlign w:val="center"/>
            <w:hideMark/>
          </w:tcPr>
          <w:p w14:paraId="7B327EE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0.28%</w:t>
            </w:r>
          </w:p>
        </w:tc>
      </w:tr>
      <w:tr w:rsidR="00823951" w:rsidRPr="00823951" w14:paraId="2DC18165"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2A7B3FB2"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租赁和商务服务业</w:t>
            </w:r>
          </w:p>
        </w:tc>
        <w:tc>
          <w:tcPr>
            <w:tcW w:w="1179" w:type="dxa"/>
            <w:tcBorders>
              <w:top w:val="nil"/>
              <w:left w:val="nil"/>
              <w:bottom w:val="single" w:sz="4" w:space="0" w:color="auto"/>
              <w:right w:val="single" w:sz="4" w:space="0" w:color="auto"/>
            </w:tcBorders>
            <w:shd w:val="clear" w:color="auto" w:fill="auto"/>
            <w:vAlign w:val="center"/>
            <w:hideMark/>
          </w:tcPr>
          <w:p w14:paraId="55475CD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0.14%</w:t>
            </w:r>
          </w:p>
        </w:tc>
      </w:tr>
      <w:tr w:rsidR="00823951" w:rsidRPr="00823951" w14:paraId="23862ABB" w14:textId="77777777" w:rsidTr="00823951">
        <w:trPr>
          <w:trHeight w:val="56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738DB8A2"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零售贸易（除了汽车和摩托车）,家用商品修理</w:t>
            </w:r>
          </w:p>
        </w:tc>
        <w:tc>
          <w:tcPr>
            <w:tcW w:w="1179" w:type="dxa"/>
            <w:tcBorders>
              <w:top w:val="nil"/>
              <w:left w:val="nil"/>
              <w:bottom w:val="single" w:sz="4" w:space="0" w:color="auto"/>
              <w:right w:val="single" w:sz="4" w:space="0" w:color="auto"/>
            </w:tcBorders>
            <w:shd w:val="clear" w:color="auto" w:fill="auto"/>
            <w:vAlign w:val="center"/>
            <w:hideMark/>
          </w:tcPr>
          <w:p w14:paraId="1EF120DB"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0.10%</w:t>
            </w:r>
          </w:p>
        </w:tc>
      </w:tr>
      <w:tr w:rsidR="00823951" w:rsidRPr="00823951" w14:paraId="41CDCC43"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6D22121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内陆运输业</w:t>
            </w:r>
          </w:p>
        </w:tc>
        <w:tc>
          <w:tcPr>
            <w:tcW w:w="1179" w:type="dxa"/>
            <w:tcBorders>
              <w:top w:val="nil"/>
              <w:left w:val="nil"/>
              <w:bottom w:val="single" w:sz="4" w:space="0" w:color="auto"/>
              <w:right w:val="single" w:sz="4" w:space="0" w:color="auto"/>
            </w:tcBorders>
            <w:shd w:val="clear" w:color="auto" w:fill="auto"/>
            <w:vAlign w:val="center"/>
            <w:hideMark/>
          </w:tcPr>
          <w:p w14:paraId="4F1DB5A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0.08%</w:t>
            </w:r>
          </w:p>
        </w:tc>
      </w:tr>
      <w:tr w:rsidR="00823951" w:rsidRPr="00823951" w14:paraId="19265212"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0F21F9F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金融业</w:t>
            </w:r>
          </w:p>
        </w:tc>
        <w:tc>
          <w:tcPr>
            <w:tcW w:w="1179" w:type="dxa"/>
            <w:tcBorders>
              <w:top w:val="nil"/>
              <w:left w:val="nil"/>
              <w:bottom w:val="single" w:sz="4" w:space="0" w:color="auto"/>
              <w:right w:val="single" w:sz="4" w:space="0" w:color="auto"/>
            </w:tcBorders>
            <w:shd w:val="clear" w:color="auto" w:fill="auto"/>
            <w:vAlign w:val="center"/>
            <w:hideMark/>
          </w:tcPr>
          <w:p w14:paraId="257F211E"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0.05%</w:t>
            </w:r>
          </w:p>
        </w:tc>
      </w:tr>
      <w:tr w:rsidR="00823951" w:rsidRPr="00823951" w14:paraId="2C14365C"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6E272BAB"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电力、燃气、水的供应业</w:t>
            </w:r>
          </w:p>
        </w:tc>
        <w:tc>
          <w:tcPr>
            <w:tcW w:w="1179" w:type="dxa"/>
            <w:tcBorders>
              <w:top w:val="nil"/>
              <w:left w:val="nil"/>
              <w:bottom w:val="single" w:sz="4" w:space="0" w:color="auto"/>
              <w:right w:val="single" w:sz="4" w:space="0" w:color="auto"/>
            </w:tcBorders>
            <w:shd w:val="clear" w:color="auto" w:fill="auto"/>
            <w:vAlign w:val="center"/>
            <w:hideMark/>
          </w:tcPr>
          <w:p w14:paraId="6FC322A0"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0.04%</w:t>
            </w:r>
          </w:p>
        </w:tc>
      </w:tr>
      <w:tr w:rsidR="00823951" w:rsidRPr="00823951" w14:paraId="4CB99A06"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1E761FF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木材、木材制品业</w:t>
            </w:r>
          </w:p>
        </w:tc>
        <w:tc>
          <w:tcPr>
            <w:tcW w:w="1179" w:type="dxa"/>
            <w:tcBorders>
              <w:top w:val="nil"/>
              <w:left w:val="nil"/>
              <w:bottom w:val="single" w:sz="4" w:space="0" w:color="auto"/>
              <w:right w:val="single" w:sz="4" w:space="0" w:color="auto"/>
            </w:tcBorders>
            <w:shd w:val="clear" w:color="auto" w:fill="auto"/>
            <w:vAlign w:val="center"/>
            <w:hideMark/>
          </w:tcPr>
          <w:p w14:paraId="34B6326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0.03%</w:t>
            </w:r>
          </w:p>
        </w:tc>
      </w:tr>
      <w:tr w:rsidR="00823951" w:rsidRPr="00823951" w14:paraId="35F18993"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0756BFE2"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化学品和化工产品制造业</w:t>
            </w:r>
          </w:p>
        </w:tc>
        <w:tc>
          <w:tcPr>
            <w:tcW w:w="1179" w:type="dxa"/>
            <w:tcBorders>
              <w:top w:val="nil"/>
              <w:left w:val="nil"/>
              <w:bottom w:val="single" w:sz="4" w:space="0" w:color="auto"/>
              <w:right w:val="single" w:sz="4" w:space="0" w:color="auto"/>
            </w:tcBorders>
            <w:shd w:val="clear" w:color="auto" w:fill="auto"/>
            <w:vAlign w:val="center"/>
            <w:hideMark/>
          </w:tcPr>
          <w:p w14:paraId="260C039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0.03%</w:t>
            </w:r>
          </w:p>
        </w:tc>
      </w:tr>
      <w:tr w:rsidR="00823951" w:rsidRPr="00823951" w14:paraId="69A6C953"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0E37933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石油加工、炼焦及核燃料加工业</w:t>
            </w:r>
          </w:p>
        </w:tc>
        <w:tc>
          <w:tcPr>
            <w:tcW w:w="1179" w:type="dxa"/>
            <w:tcBorders>
              <w:top w:val="nil"/>
              <w:left w:val="nil"/>
              <w:bottom w:val="single" w:sz="4" w:space="0" w:color="auto"/>
              <w:right w:val="single" w:sz="4" w:space="0" w:color="auto"/>
            </w:tcBorders>
            <w:shd w:val="clear" w:color="auto" w:fill="auto"/>
            <w:vAlign w:val="center"/>
            <w:hideMark/>
          </w:tcPr>
          <w:p w14:paraId="05174B0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0.03%</w:t>
            </w:r>
          </w:p>
        </w:tc>
      </w:tr>
      <w:tr w:rsidR="00823951" w:rsidRPr="00823951" w14:paraId="4BA4022B"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3E86574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电气和光学设备制造业</w:t>
            </w:r>
          </w:p>
        </w:tc>
        <w:tc>
          <w:tcPr>
            <w:tcW w:w="1179" w:type="dxa"/>
            <w:tcBorders>
              <w:top w:val="nil"/>
              <w:left w:val="nil"/>
              <w:bottom w:val="single" w:sz="4" w:space="0" w:color="auto"/>
              <w:right w:val="single" w:sz="4" w:space="0" w:color="auto"/>
            </w:tcBorders>
            <w:shd w:val="clear" w:color="auto" w:fill="auto"/>
            <w:vAlign w:val="center"/>
            <w:hideMark/>
          </w:tcPr>
          <w:p w14:paraId="42D0499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0.03%</w:t>
            </w:r>
          </w:p>
        </w:tc>
      </w:tr>
      <w:tr w:rsidR="00823951" w:rsidRPr="00823951" w14:paraId="74B0A0EA"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6DF3FD1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邮政通讯业</w:t>
            </w:r>
          </w:p>
        </w:tc>
        <w:tc>
          <w:tcPr>
            <w:tcW w:w="1179" w:type="dxa"/>
            <w:tcBorders>
              <w:top w:val="nil"/>
              <w:left w:val="nil"/>
              <w:bottom w:val="single" w:sz="4" w:space="0" w:color="auto"/>
              <w:right w:val="single" w:sz="4" w:space="0" w:color="auto"/>
            </w:tcBorders>
            <w:shd w:val="clear" w:color="auto" w:fill="auto"/>
            <w:vAlign w:val="center"/>
            <w:hideMark/>
          </w:tcPr>
          <w:p w14:paraId="44406006"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0.01%</w:t>
            </w:r>
          </w:p>
        </w:tc>
      </w:tr>
      <w:tr w:rsidR="00823951" w:rsidRPr="00823951" w14:paraId="625CC5DF"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371A2FF0"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纸浆、纸、纸张、印刷和出版业</w:t>
            </w:r>
          </w:p>
        </w:tc>
        <w:tc>
          <w:tcPr>
            <w:tcW w:w="1179" w:type="dxa"/>
            <w:tcBorders>
              <w:top w:val="nil"/>
              <w:left w:val="nil"/>
              <w:bottom w:val="single" w:sz="4" w:space="0" w:color="auto"/>
              <w:right w:val="single" w:sz="4" w:space="0" w:color="auto"/>
            </w:tcBorders>
            <w:shd w:val="clear" w:color="auto" w:fill="auto"/>
            <w:vAlign w:val="center"/>
            <w:hideMark/>
          </w:tcPr>
          <w:p w14:paraId="02ADD8A4"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0.00%</w:t>
            </w:r>
          </w:p>
        </w:tc>
      </w:tr>
      <w:tr w:rsidR="00823951" w:rsidRPr="00823951" w14:paraId="075CE1A0"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1C1FE1FE"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其他非金属矿物制品业</w:t>
            </w:r>
          </w:p>
        </w:tc>
        <w:tc>
          <w:tcPr>
            <w:tcW w:w="1179" w:type="dxa"/>
            <w:tcBorders>
              <w:top w:val="nil"/>
              <w:left w:val="nil"/>
              <w:bottom w:val="single" w:sz="4" w:space="0" w:color="auto"/>
              <w:right w:val="single" w:sz="4" w:space="0" w:color="auto"/>
            </w:tcBorders>
            <w:shd w:val="clear" w:color="auto" w:fill="auto"/>
            <w:vAlign w:val="center"/>
            <w:hideMark/>
          </w:tcPr>
          <w:p w14:paraId="0E2D9FE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-0.01%</w:t>
            </w:r>
          </w:p>
        </w:tc>
      </w:tr>
      <w:tr w:rsidR="00823951" w:rsidRPr="00823951" w14:paraId="3FA5A4F3" w14:textId="77777777" w:rsidTr="00823951">
        <w:trPr>
          <w:trHeight w:val="56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11487625"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lastRenderedPageBreak/>
              <w:t>其他支持和辅助运输业；旅行社活动</w:t>
            </w:r>
          </w:p>
        </w:tc>
        <w:tc>
          <w:tcPr>
            <w:tcW w:w="1179" w:type="dxa"/>
            <w:tcBorders>
              <w:top w:val="nil"/>
              <w:left w:val="nil"/>
              <w:bottom w:val="single" w:sz="4" w:space="0" w:color="auto"/>
              <w:right w:val="single" w:sz="4" w:space="0" w:color="auto"/>
            </w:tcBorders>
            <w:shd w:val="clear" w:color="auto" w:fill="auto"/>
            <w:vAlign w:val="center"/>
            <w:hideMark/>
          </w:tcPr>
          <w:p w14:paraId="23E913B4"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-0.02%</w:t>
            </w:r>
          </w:p>
        </w:tc>
      </w:tr>
      <w:tr w:rsidR="00823951" w:rsidRPr="00823951" w14:paraId="27DFFD2B"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50B5DFD5"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航空运输业</w:t>
            </w:r>
          </w:p>
        </w:tc>
        <w:tc>
          <w:tcPr>
            <w:tcW w:w="1179" w:type="dxa"/>
            <w:tcBorders>
              <w:top w:val="nil"/>
              <w:left w:val="nil"/>
              <w:bottom w:val="single" w:sz="4" w:space="0" w:color="auto"/>
              <w:right w:val="single" w:sz="4" w:space="0" w:color="auto"/>
            </w:tcBorders>
            <w:shd w:val="clear" w:color="auto" w:fill="auto"/>
            <w:vAlign w:val="center"/>
            <w:hideMark/>
          </w:tcPr>
          <w:p w14:paraId="6C58DB3F"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-0.03%</w:t>
            </w:r>
          </w:p>
        </w:tc>
      </w:tr>
      <w:tr w:rsidR="00823951" w:rsidRPr="00823951" w14:paraId="43F3FC24"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57002912"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设备制造业</w:t>
            </w:r>
          </w:p>
        </w:tc>
        <w:tc>
          <w:tcPr>
            <w:tcW w:w="1179" w:type="dxa"/>
            <w:tcBorders>
              <w:top w:val="nil"/>
              <w:left w:val="nil"/>
              <w:bottom w:val="single" w:sz="4" w:space="0" w:color="auto"/>
              <w:right w:val="single" w:sz="4" w:space="0" w:color="auto"/>
            </w:tcBorders>
            <w:shd w:val="clear" w:color="auto" w:fill="auto"/>
            <w:vAlign w:val="center"/>
            <w:hideMark/>
          </w:tcPr>
          <w:p w14:paraId="3C347832"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-0.04%</w:t>
            </w:r>
          </w:p>
        </w:tc>
      </w:tr>
      <w:tr w:rsidR="00823951" w:rsidRPr="00823951" w14:paraId="308F7479"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021CD31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房地产业</w:t>
            </w:r>
          </w:p>
        </w:tc>
        <w:tc>
          <w:tcPr>
            <w:tcW w:w="1179" w:type="dxa"/>
            <w:tcBorders>
              <w:top w:val="nil"/>
              <w:left w:val="nil"/>
              <w:bottom w:val="single" w:sz="4" w:space="0" w:color="auto"/>
              <w:right w:val="single" w:sz="4" w:space="0" w:color="auto"/>
            </w:tcBorders>
            <w:shd w:val="clear" w:color="auto" w:fill="auto"/>
            <w:vAlign w:val="center"/>
            <w:hideMark/>
          </w:tcPr>
          <w:p w14:paraId="26DABCF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-0.04%</w:t>
            </w:r>
          </w:p>
        </w:tc>
      </w:tr>
      <w:tr w:rsidR="00823951" w:rsidRPr="00823951" w14:paraId="1FBDDDCD"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0A74074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其他社区、社会和个人服务</w:t>
            </w:r>
          </w:p>
        </w:tc>
        <w:tc>
          <w:tcPr>
            <w:tcW w:w="1179" w:type="dxa"/>
            <w:tcBorders>
              <w:top w:val="nil"/>
              <w:left w:val="nil"/>
              <w:bottom w:val="single" w:sz="4" w:space="0" w:color="auto"/>
              <w:right w:val="single" w:sz="4" w:space="0" w:color="auto"/>
            </w:tcBorders>
            <w:shd w:val="clear" w:color="auto" w:fill="auto"/>
            <w:vAlign w:val="center"/>
            <w:hideMark/>
          </w:tcPr>
          <w:p w14:paraId="2048B11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-0.04%</w:t>
            </w:r>
          </w:p>
        </w:tc>
      </w:tr>
      <w:tr w:rsidR="00823951" w:rsidRPr="00823951" w14:paraId="403FBE75"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51F2C847"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采矿和采石业</w:t>
            </w:r>
          </w:p>
        </w:tc>
        <w:tc>
          <w:tcPr>
            <w:tcW w:w="1179" w:type="dxa"/>
            <w:tcBorders>
              <w:top w:val="nil"/>
              <w:left w:val="nil"/>
              <w:bottom w:val="single" w:sz="4" w:space="0" w:color="auto"/>
              <w:right w:val="single" w:sz="4" w:space="0" w:color="auto"/>
            </w:tcBorders>
            <w:shd w:val="clear" w:color="auto" w:fill="auto"/>
            <w:vAlign w:val="center"/>
            <w:hideMark/>
          </w:tcPr>
          <w:p w14:paraId="69FA3E95"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-0.05%</w:t>
            </w:r>
          </w:p>
        </w:tc>
      </w:tr>
      <w:tr w:rsidR="00823951" w:rsidRPr="00823951" w14:paraId="1F295BD5" w14:textId="77777777" w:rsidTr="00823951">
        <w:trPr>
          <w:trHeight w:val="56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687A70A8"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批发贸易和经纪贸易(除了汽车和摩托车)</w:t>
            </w:r>
          </w:p>
        </w:tc>
        <w:tc>
          <w:tcPr>
            <w:tcW w:w="1179" w:type="dxa"/>
            <w:tcBorders>
              <w:top w:val="nil"/>
              <w:left w:val="nil"/>
              <w:bottom w:val="single" w:sz="4" w:space="0" w:color="auto"/>
              <w:right w:val="single" w:sz="4" w:space="0" w:color="auto"/>
            </w:tcBorders>
            <w:shd w:val="clear" w:color="auto" w:fill="auto"/>
            <w:vAlign w:val="center"/>
            <w:hideMark/>
          </w:tcPr>
          <w:p w14:paraId="3C40DB49"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-0.05%</w:t>
            </w:r>
          </w:p>
        </w:tc>
      </w:tr>
      <w:tr w:rsidR="00823951" w:rsidRPr="00823951" w14:paraId="23763117"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10B4CBD4"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食品、饮料和烟草业</w:t>
            </w:r>
          </w:p>
        </w:tc>
        <w:tc>
          <w:tcPr>
            <w:tcW w:w="1179" w:type="dxa"/>
            <w:tcBorders>
              <w:top w:val="nil"/>
              <w:left w:val="nil"/>
              <w:bottom w:val="single" w:sz="4" w:space="0" w:color="auto"/>
              <w:right w:val="single" w:sz="4" w:space="0" w:color="auto"/>
            </w:tcBorders>
            <w:shd w:val="clear" w:color="auto" w:fill="auto"/>
            <w:vAlign w:val="center"/>
            <w:hideMark/>
          </w:tcPr>
          <w:p w14:paraId="02FC488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-0.06%</w:t>
            </w:r>
          </w:p>
        </w:tc>
      </w:tr>
      <w:tr w:rsidR="00823951" w:rsidRPr="00823951" w14:paraId="6D62BF9F"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084609FD"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卫生和社会工作</w:t>
            </w:r>
          </w:p>
        </w:tc>
        <w:tc>
          <w:tcPr>
            <w:tcW w:w="1179" w:type="dxa"/>
            <w:tcBorders>
              <w:top w:val="nil"/>
              <w:left w:val="nil"/>
              <w:bottom w:val="single" w:sz="4" w:space="0" w:color="auto"/>
              <w:right w:val="single" w:sz="4" w:space="0" w:color="auto"/>
            </w:tcBorders>
            <w:shd w:val="clear" w:color="auto" w:fill="auto"/>
            <w:vAlign w:val="center"/>
            <w:hideMark/>
          </w:tcPr>
          <w:p w14:paraId="01F9F619"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-0.11%</w:t>
            </w:r>
          </w:p>
        </w:tc>
      </w:tr>
      <w:tr w:rsidR="00823951" w:rsidRPr="00823951" w14:paraId="5FFE90BC"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005E2CDB"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橡胶和塑料制品业</w:t>
            </w:r>
          </w:p>
        </w:tc>
        <w:tc>
          <w:tcPr>
            <w:tcW w:w="1179" w:type="dxa"/>
            <w:tcBorders>
              <w:top w:val="nil"/>
              <w:left w:val="nil"/>
              <w:bottom w:val="single" w:sz="4" w:space="0" w:color="auto"/>
              <w:right w:val="single" w:sz="4" w:space="0" w:color="auto"/>
            </w:tcBorders>
            <w:shd w:val="clear" w:color="auto" w:fill="auto"/>
            <w:vAlign w:val="center"/>
            <w:hideMark/>
          </w:tcPr>
          <w:p w14:paraId="37EB7BF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-0.13%</w:t>
            </w:r>
          </w:p>
        </w:tc>
      </w:tr>
      <w:tr w:rsidR="00823951" w:rsidRPr="00823951" w14:paraId="78397BF5"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44036FC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金属和金属制品业</w:t>
            </w:r>
          </w:p>
        </w:tc>
        <w:tc>
          <w:tcPr>
            <w:tcW w:w="1179" w:type="dxa"/>
            <w:tcBorders>
              <w:top w:val="nil"/>
              <w:left w:val="nil"/>
              <w:bottom w:val="single" w:sz="4" w:space="0" w:color="auto"/>
              <w:right w:val="single" w:sz="4" w:space="0" w:color="auto"/>
            </w:tcBorders>
            <w:shd w:val="clear" w:color="auto" w:fill="auto"/>
            <w:vAlign w:val="center"/>
            <w:hideMark/>
          </w:tcPr>
          <w:p w14:paraId="52E36228"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-0.16%</w:t>
            </w:r>
          </w:p>
        </w:tc>
      </w:tr>
      <w:tr w:rsidR="00823951" w:rsidRPr="00823951" w14:paraId="6F218926"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505567A1"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教育</w:t>
            </w:r>
          </w:p>
        </w:tc>
        <w:tc>
          <w:tcPr>
            <w:tcW w:w="1179" w:type="dxa"/>
            <w:tcBorders>
              <w:top w:val="nil"/>
              <w:left w:val="nil"/>
              <w:bottom w:val="single" w:sz="4" w:space="0" w:color="auto"/>
              <w:right w:val="single" w:sz="4" w:space="0" w:color="auto"/>
            </w:tcBorders>
            <w:shd w:val="clear" w:color="auto" w:fill="auto"/>
            <w:vAlign w:val="center"/>
            <w:hideMark/>
          </w:tcPr>
          <w:p w14:paraId="77756E9E"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-0.18%</w:t>
            </w:r>
          </w:p>
        </w:tc>
      </w:tr>
      <w:tr w:rsidR="00823951" w:rsidRPr="00823951" w14:paraId="29E8D9C3"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74976A6B"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运输设备业</w:t>
            </w:r>
          </w:p>
        </w:tc>
        <w:tc>
          <w:tcPr>
            <w:tcW w:w="1179" w:type="dxa"/>
            <w:tcBorders>
              <w:top w:val="nil"/>
              <w:left w:val="nil"/>
              <w:bottom w:val="single" w:sz="4" w:space="0" w:color="auto"/>
              <w:right w:val="single" w:sz="4" w:space="0" w:color="auto"/>
            </w:tcBorders>
            <w:shd w:val="clear" w:color="auto" w:fill="auto"/>
            <w:vAlign w:val="center"/>
            <w:hideMark/>
          </w:tcPr>
          <w:p w14:paraId="6FDA6F3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-0.22%</w:t>
            </w:r>
          </w:p>
        </w:tc>
      </w:tr>
      <w:tr w:rsidR="00823951" w:rsidRPr="00823951" w14:paraId="636E4309"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64F6C669"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酒店和餐饮业</w:t>
            </w:r>
          </w:p>
        </w:tc>
        <w:tc>
          <w:tcPr>
            <w:tcW w:w="1179" w:type="dxa"/>
            <w:tcBorders>
              <w:top w:val="nil"/>
              <w:left w:val="nil"/>
              <w:bottom w:val="single" w:sz="4" w:space="0" w:color="auto"/>
              <w:right w:val="single" w:sz="4" w:space="0" w:color="auto"/>
            </w:tcBorders>
            <w:shd w:val="clear" w:color="auto" w:fill="auto"/>
            <w:vAlign w:val="center"/>
            <w:hideMark/>
          </w:tcPr>
          <w:p w14:paraId="6A26894D"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-0.32%</w:t>
            </w:r>
          </w:p>
        </w:tc>
      </w:tr>
      <w:tr w:rsidR="00823951" w:rsidRPr="00823951" w14:paraId="3CFC2EA2"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auto" w:fill="auto"/>
            <w:vAlign w:val="center"/>
            <w:hideMark/>
          </w:tcPr>
          <w:p w14:paraId="180E97F9"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水路运输业</w:t>
            </w:r>
          </w:p>
        </w:tc>
        <w:tc>
          <w:tcPr>
            <w:tcW w:w="1179" w:type="dxa"/>
            <w:tcBorders>
              <w:top w:val="nil"/>
              <w:left w:val="nil"/>
              <w:bottom w:val="single" w:sz="4" w:space="0" w:color="auto"/>
              <w:right w:val="single" w:sz="4" w:space="0" w:color="auto"/>
            </w:tcBorders>
            <w:shd w:val="clear" w:color="auto" w:fill="auto"/>
            <w:vAlign w:val="center"/>
            <w:hideMark/>
          </w:tcPr>
          <w:p w14:paraId="02E8EDEC"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-0.32%</w:t>
            </w:r>
          </w:p>
        </w:tc>
      </w:tr>
      <w:tr w:rsidR="00823951" w:rsidRPr="00823951" w14:paraId="209F32EB" w14:textId="77777777" w:rsidTr="00823951">
        <w:trPr>
          <w:trHeight w:val="280"/>
          <w:jc w:val="center"/>
        </w:trPr>
        <w:tc>
          <w:tcPr>
            <w:tcW w:w="4497" w:type="dxa"/>
            <w:tcBorders>
              <w:top w:val="nil"/>
              <w:left w:val="single" w:sz="4" w:space="0" w:color="auto"/>
              <w:bottom w:val="single" w:sz="4" w:space="0" w:color="auto"/>
              <w:right w:val="single" w:sz="4" w:space="0" w:color="auto"/>
            </w:tcBorders>
            <w:shd w:val="clear" w:color="000000" w:fill="FFFF00"/>
            <w:vAlign w:val="center"/>
            <w:hideMark/>
          </w:tcPr>
          <w:p w14:paraId="3195C3AA"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建筑业</w:t>
            </w:r>
          </w:p>
        </w:tc>
        <w:tc>
          <w:tcPr>
            <w:tcW w:w="1179" w:type="dxa"/>
            <w:tcBorders>
              <w:top w:val="nil"/>
              <w:left w:val="nil"/>
              <w:bottom w:val="single" w:sz="4" w:space="0" w:color="auto"/>
              <w:right w:val="single" w:sz="4" w:space="0" w:color="auto"/>
            </w:tcBorders>
            <w:shd w:val="clear" w:color="auto" w:fill="auto"/>
            <w:vAlign w:val="center"/>
            <w:hideMark/>
          </w:tcPr>
          <w:p w14:paraId="59800DD3" w14:textId="77777777" w:rsidR="00823951" w:rsidRPr="00823951" w:rsidRDefault="00823951" w:rsidP="00823951">
            <w:pPr>
              <w:widowControl/>
              <w:jc w:val="center"/>
              <w:rPr>
                <w:rFonts w:ascii="等线" w:eastAsia="等线" w:hAnsi="等线" w:cs="宋体" w:hint="eastAsia"/>
                <w:color w:val="000000"/>
                <w:kern w:val="0"/>
                <w:sz w:val="22"/>
              </w:rPr>
            </w:pPr>
            <w:r w:rsidRPr="00823951">
              <w:rPr>
                <w:rFonts w:ascii="等线" w:eastAsia="等线" w:hAnsi="等线" w:cs="宋体" w:hint="eastAsia"/>
                <w:color w:val="000000"/>
                <w:kern w:val="0"/>
                <w:sz w:val="22"/>
              </w:rPr>
              <w:t>-0.34%</w:t>
            </w:r>
          </w:p>
        </w:tc>
      </w:tr>
    </w:tbl>
    <w:p w14:paraId="128CFA1E" w14:textId="77777777" w:rsidR="00897E54" w:rsidRPr="00897E54" w:rsidRDefault="00897E54" w:rsidP="00897E54"/>
    <w:p w14:paraId="7295A555" w14:textId="77777777"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说明：绿色阴影为第一产业，黄色阴影为第二产业，白色为第三产业，下表同。</w:t>
      </w:r>
    </w:p>
    <w:p w14:paraId="71F499D9" w14:textId="77777777" w:rsidR="00963E97" w:rsidRDefault="00DD286C">
      <w:pPr>
        <w:spacing w:line="360" w:lineRule="auto"/>
        <w:ind w:firstLine="420"/>
        <w:rPr>
          <w:rFonts w:ascii="Times New Roman" w:eastAsia="宋体" w:hAnsi="Times New Roman" w:cs="Times New Roman"/>
          <w:sz w:val="18"/>
          <w:szCs w:val="18"/>
        </w:rPr>
      </w:pPr>
      <w:r>
        <w:rPr>
          <w:rFonts w:ascii="Times New Roman" w:eastAsia="宋体" w:hAnsi="Times New Roman" w:cs="Times New Roman" w:hint="eastAsia"/>
          <w:sz w:val="18"/>
          <w:szCs w:val="18"/>
        </w:rPr>
        <w:t>数据来源：</w:t>
      </w:r>
      <w:r>
        <w:rPr>
          <w:rFonts w:ascii="Times New Roman" w:eastAsia="宋体" w:hAnsi="Times New Roman" w:cs="Times New Roman" w:hint="eastAsia"/>
          <w:sz w:val="18"/>
          <w:szCs w:val="18"/>
        </w:rPr>
        <w:t>IWEP-HEER</w:t>
      </w:r>
      <w:r>
        <w:rPr>
          <w:rFonts w:ascii="Times New Roman" w:eastAsia="宋体" w:hAnsi="Times New Roman" w:cs="Times New Roman" w:hint="eastAsia"/>
          <w:sz w:val="18"/>
          <w:szCs w:val="18"/>
        </w:rPr>
        <w:t>数据库，作者计算，下表同。</w:t>
      </w:r>
    </w:p>
    <w:p w14:paraId="5430754E" w14:textId="77777777" w:rsidR="001C2CCA" w:rsidRDefault="001C2CCA">
      <w:pPr>
        <w:spacing w:line="360" w:lineRule="auto"/>
        <w:ind w:firstLine="420"/>
        <w:rPr>
          <w:rFonts w:ascii="Times New Roman" w:eastAsia="宋体" w:hAnsi="Times New Roman" w:cs="Times New Roman"/>
          <w:sz w:val="18"/>
          <w:szCs w:val="18"/>
        </w:rPr>
      </w:pPr>
    </w:p>
    <w:p w14:paraId="62112147" w14:textId="4E029303" w:rsidR="00963E97" w:rsidRDefault="00DD286C">
      <w:pPr>
        <w:pStyle w:val="a3"/>
        <w:keepNext/>
        <w:jc w:val="center"/>
      </w:pPr>
      <w:r>
        <w:t>表</w:t>
      </w:r>
      <w:r w:rsidR="004A5A27">
        <w:fldChar w:fldCharType="begin"/>
      </w:r>
      <w:r>
        <w:instrText xml:space="preserve"> SEQ </w:instrText>
      </w:r>
      <w:r>
        <w:instrText>表格</w:instrText>
      </w:r>
      <w:r>
        <w:instrText xml:space="preserve"> \* ARABIC </w:instrText>
      </w:r>
      <w:r w:rsidR="004A5A27">
        <w:fldChar w:fldCharType="separate"/>
      </w:r>
      <w:r>
        <w:t>2</w:t>
      </w:r>
      <w:r w:rsidR="004A5A27">
        <w:fldChar w:fldCharType="end"/>
      </w:r>
      <w:r>
        <w:t xml:space="preserve"> </w:t>
      </w:r>
      <w:r>
        <w:rPr>
          <w:rFonts w:hint="eastAsia"/>
        </w:rPr>
        <w:t>分行业基于增加值人民币有效汇率同比变动（</w:t>
      </w:r>
      <w:r>
        <w:rPr>
          <w:rFonts w:hint="eastAsia"/>
        </w:rPr>
        <w:t>20</w:t>
      </w:r>
      <w:r w:rsidR="00EE143F">
        <w:rPr>
          <w:rFonts w:hint="eastAsia"/>
        </w:rPr>
        <w:t>2</w:t>
      </w:r>
      <w:r w:rsidR="007F3BAD">
        <w:rPr>
          <w:rFonts w:hint="eastAsia"/>
        </w:rPr>
        <w:t>3</w:t>
      </w:r>
      <w:r>
        <w:rPr>
          <w:rFonts w:hint="eastAsia"/>
        </w:rPr>
        <w:t>年</w:t>
      </w:r>
      <w:r w:rsidR="007F3BAD">
        <w:rPr>
          <w:rFonts w:hint="eastAsia"/>
        </w:rPr>
        <w:t>1</w:t>
      </w:r>
      <w:r w:rsidR="00823951">
        <w:rPr>
          <w:rFonts w:hint="eastAsia"/>
        </w:rPr>
        <w:t>2</w:t>
      </w:r>
      <w:r>
        <w:rPr>
          <w:rFonts w:hint="eastAsia"/>
        </w:rPr>
        <w:t>月）</w:t>
      </w:r>
    </w:p>
    <w:tbl>
      <w:tblPr>
        <w:tblW w:w="5582" w:type="dxa"/>
        <w:jc w:val="center"/>
        <w:tblLook w:val="04A0" w:firstRow="1" w:lastRow="0" w:firstColumn="1" w:lastColumn="0" w:noHBand="0" w:noVBand="1"/>
      </w:tblPr>
      <w:tblGrid>
        <w:gridCol w:w="4450"/>
        <w:gridCol w:w="1132"/>
      </w:tblGrid>
      <w:tr w:rsidR="00386DF1" w:rsidRPr="00386DF1" w14:paraId="7003150A" w14:textId="77777777" w:rsidTr="00823951">
        <w:trPr>
          <w:trHeight w:val="280"/>
          <w:jc w:val="center"/>
        </w:trPr>
        <w:tc>
          <w:tcPr>
            <w:tcW w:w="4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6612" w14:textId="77777777" w:rsidR="00386DF1" w:rsidRPr="00386DF1" w:rsidRDefault="00386DF1" w:rsidP="00386DF1">
            <w:pPr>
              <w:widowControl/>
              <w:jc w:val="center"/>
              <w:rPr>
                <w:rFonts w:ascii="Times New Roman" w:eastAsia="等线" w:hAnsi="Times New Roman" w:cs="Times New Roman"/>
                <w:b/>
                <w:bCs/>
                <w:color w:val="000000"/>
                <w:kern w:val="0"/>
                <w:szCs w:val="21"/>
              </w:rPr>
            </w:pPr>
            <w:r w:rsidRPr="00386DF1">
              <w:rPr>
                <w:rFonts w:ascii="Times New Roman" w:eastAsia="等线" w:hAnsi="Times New Roman" w:cs="Times New Roman"/>
                <w:b/>
                <w:bCs/>
                <w:color w:val="000000"/>
                <w:kern w:val="0"/>
                <w:szCs w:val="21"/>
              </w:rPr>
              <w:t>行业</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5942BABF" w14:textId="77777777" w:rsidR="00386DF1" w:rsidRPr="00386DF1" w:rsidRDefault="00386DF1" w:rsidP="00386DF1">
            <w:pPr>
              <w:widowControl/>
              <w:jc w:val="center"/>
              <w:rPr>
                <w:rFonts w:ascii="Times New Roman" w:eastAsia="等线" w:hAnsi="Times New Roman" w:cs="Times New Roman"/>
                <w:b/>
                <w:bCs/>
                <w:color w:val="000000"/>
                <w:kern w:val="0"/>
                <w:szCs w:val="21"/>
              </w:rPr>
            </w:pPr>
            <w:r w:rsidRPr="00386DF1">
              <w:rPr>
                <w:rFonts w:ascii="Times New Roman" w:eastAsia="等线" w:hAnsi="Times New Roman" w:cs="Times New Roman"/>
                <w:b/>
                <w:bCs/>
                <w:color w:val="000000"/>
                <w:kern w:val="0"/>
                <w:szCs w:val="21"/>
              </w:rPr>
              <w:t>上年同比</w:t>
            </w:r>
          </w:p>
        </w:tc>
      </w:tr>
      <w:tr w:rsidR="00386DF1" w:rsidRPr="00386DF1" w14:paraId="0FDFAE2B"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414B10CD" w14:textId="77777777" w:rsidR="00386DF1" w:rsidRPr="00386DF1" w:rsidRDefault="00386DF1" w:rsidP="00386DF1">
            <w:pPr>
              <w:widowControl/>
              <w:jc w:val="center"/>
              <w:rPr>
                <w:rFonts w:ascii="等线" w:eastAsia="等线" w:hAnsi="等线" w:cs="宋体"/>
                <w:color w:val="000000"/>
                <w:kern w:val="0"/>
                <w:sz w:val="22"/>
              </w:rPr>
            </w:pPr>
            <w:r w:rsidRPr="00386DF1">
              <w:rPr>
                <w:rFonts w:ascii="等线" w:eastAsia="等线" w:hAnsi="等线" w:cs="宋体" w:hint="eastAsia"/>
                <w:color w:val="000000"/>
                <w:kern w:val="0"/>
                <w:sz w:val="22"/>
              </w:rPr>
              <w:t>石油加工、炼焦及核燃料加工业</w:t>
            </w:r>
          </w:p>
        </w:tc>
        <w:tc>
          <w:tcPr>
            <w:tcW w:w="1132" w:type="dxa"/>
            <w:tcBorders>
              <w:top w:val="nil"/>
              <w:left w:val="nil"/>
              <w:bottom w:val="single" w:sz="4" w:space="0" w:color="auto"/>
              <w:right w:val="single" w:sz="4" w:space="0" w:color="auto"/>
            </w:tcBorders>
            <w:shd w:val="clear" w:color="auto" w:fill="auto"/>
            <w:vAlign w:val="center"/>
            <w:hideMark/>
          </w:tcPr>
          <w:p w14:paraId="77D05F29"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2.12%</w:t>
            </w:r>
          </w:p>
        </w:tc>
      </w:tr>
      <w:tr w:rsidR="00386DF1" w:rsidRPr="00386DF1" w14:paraId="249F6C84"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13296E48"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纺织材料和纺织制品业</w:t>
            </w:r>
          </w:p>
        </w:tc>
        <w:tc>
          <w:tcPr>
            <w:tcW w:w="1132" w:type="dxa"/>
            <w:tcBorders>
              <w:top w:val="nil"/>
              <w:left w:val="nil"/>
              <w:bottom w:val="single" w:sz="4" w:space="0" w:color="auto"/>
              <w:right w:val="single" w:sz="4" w:space="0" w:color="auto"/>
            </w:tcBorders>
            <w:shd w:val="clear" w:color="auto" w:fill="auto"/>
            <w:vAlign w:val="center"/>
            <w:hideMark/>
          </w:tcPr>
          <w:p w14:paraId="37787EA6"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1.66%</w:t>
            </w:r>
          </w:p>
        </w:tc>
      </w:tr>
      <w:tr w:rsidR="00386DF1" w:rsidRPr="00386DF1" w14:paraId="23CC8F33"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1312BF0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采矿和采石业</w:t>
            </w:r>
          </w:p>
        </w:tc>
        <w:tc>
          <w:tcPr>
            <w:tcW w:w="1132" w:type="dxa"/>
            <w:tcBorders>
              <w:top w:val="nil"/>
              <w:left w:val="nil"/>
              <w:bottom w:val="single" w:sz="4" w:space="0" w:color="auto"/>
              <w:right w:val="single" w:sz="4" w:space="0" w:color="auto"/>
            </w:tcBorders>
            <w:shd w:val="clear" w:color="auto" w:fill="auto"/>
            <w:vAlign w:val="center"/>
            <w:hideMark/>
          </w:tcPr>
          <w:p w14:paraId="51361B92"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1.13%</w:t>
            </w:r>
          </w:p>
        </w:tc>
      </w:tr>
      <w:tr w:rsidR="00386DF1" w:rsidRPr="00386DF1" w14:paraId="6F80F363"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799E653A"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内陆运输业</w:t>
            </w:r>
          </w:p>
        </w:tc>
        <w:tc>
          <w:tcPr>
            <w:tcW w:w="1132" w:type="dxa"/>
            <w:tcBorders>
              <w:top w:val="nil"/>
              <w:left w:val="nil"/>
              <w:bottom w:val="single" w:sz="4" w:space="0" w:color="auto"/>
              <w:right w:val="single" w:sz="4" w:space="0" w:color="auto"/>
            </w:tcBorders>
            <w:shd w:val="clear" w:color="auto" w:fill="auto"/>
            <w:vAlign w:val="center"/>
            <w:hideMark/>
          </w:tcPr>
          <w:p w14:paraId="4C9E49C5"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0.98%</w:t>
            </w:r>
          </w:p>
        </w:tc>
      </w:tr>
      <w:tr w:rsidR="00386DF1" w:rsidRPr="00386DF1" w14:paraId="6B7F59EC"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41062197"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批发贸易和经纪贸易(除了汽车和摩托车)</w:t>
            </w:r>
          </w:p>
        </w:tc>
        <w:tc>
          <w:tcPr>
            <w:tcW w:w="1132" w:type="dxa"/>
            <w:tcBorders>
              <w:top w:val="nil"/>
              <w:left w:val="nil"/>
              <w:bottom w:val="single" w:sz="4" w:space="0" w:color="auto"/>
              <w:right w:val="single" w:sz="4" w:space="0" w:color="auto"/>
            </w:tcBorders>
            <w:shd w:val="clear" w:color="auto" w:fill="auto"/>
            <w:vAlign w:val="center"/>
            <w:hideMark/>
          </w:tcPr>
          <w:p w14:paraId="234364D1"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-0.02%</w:t>
            </w:r>
          </w:p>
        </w:tc>
      </w:tr>
      <w:tr w:rsidR="00386DF1" w:rsidRPr="00386DF1" w14:paraId="088083E8"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00FF00"/>
            <w:vAlign w:val="center"/>
            <w:hideMark/>
          </w:tcPr>
          <w:p w14:paraId="0FA9B53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农林牧渔业</w:t>
            </w:r>
          </w:p>
        </w:tc>
        <w:tc>
          <w:tcPr>
            <w:tcW w:w="1132" w:type="dxa"/>
            <w:tcBorders>
              <w:top w:val="nil"/>
              <w:left w:val="nil"/>
              <w:bottom w:val="single" w:sz="4" w:space="0" w:color="auto"/>
              <w:right w:val="single" w:sz="4" w:space="0" w:color="auto"/>
            </w:tcBorders>
            <w:shd w:val="clear" w:color="auto" w:fill="auto"/>
            <w:vAlign w:val="center"/>
            <w:hideMark/>
          </w:tcPr>
          <w:p w14:paraId="7C98AF0D"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-0.26%</w:t>
            </w:r>
          </w:p>
        </w:tc>
      </w:tr>
      <w:tr w:rsidR="00386DF1" w:rsidRPr="00386DF1" w14:paraId="0E9B8BC2"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45510A4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水路运输业</w:t>
            </w:r>
          </w:p>
        </w:tc>
        <w:tc>
          <w:tcPr>
            <w:tcW w:w="1132" w:type="dxa"/>
            <w:tcBorders>
              <w:top w:val="nil"/>
              <w:left w:val="nil"/>
              <w:bottom w:val="single" w:sz="4" w:space="0" w:color="auto"/>
              <w:right w:val="single" w:sz="4" w:space="0" w:color="auto"/>
            </w:tcBorders>
            <w:shd w:val="clear" w:color="auto" w:fill="auto"/>
            <w:vAlign w:val="center"/>
            <w:hideMark/>
          </w:tcPr>
          <w:p w14:paraId="510381E8"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-0.31%</w:t>
            </w:r>
          </w:p>
        </w:tc>
      </w:tr>
      <w:tr w:rsidR="00386DF1" w:rsidRPr="00386DF1" w14:paraId="62216838"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004D493A"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电力、燃气、水的供应业</w:t>
            </w:r>
          </w:p>
        </w:tc>
        <w:tc>
          <w:tcPr>
            <w:tcW w:w="1132" w:type="dxa"/>
            <w:tcBorders>
              <w:top w:val="nil"/>
              <w:left w:val="nil"/>
              <w:bottom w:val="single" w:sz="4" w:space="0" w:color="auto"/>
              <w:right w:val="single" w:sz="4" w:space="0" w:color="auto"/>
            </w:tcBorders>
            <w:shd w:val="clear" w:color="auto" w:fill="auto"/>
            <w:vAlign w:val="center"/>
            <w:hideMark/>
          </w:tcPr>
          <w:p w14:paraId="2FFEEEF1"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-0.64%</w:t>
            </w:r>
          </w:p>
        </w:tc>
      </w:tr>
      <w:tr w:rsidR="00386DF1" w:rsidRPr="00386DF1" w14:paraId="08F44B93"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36A81E5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公共管理和国防业；强制性社会保障</w:t>
            </w:r>
          </w:p>
        </w:tc>
        <w:tc>
          <w:tcPr>
            <w:tcW w:w="1132" w:type="dxa"/>
            <w:tcBorders>
              <w:top w:val="nil"/>
              <w:left w:val="nil"/>
              <w:bottom w:val="single" w:sz="4" w:space="0" w:color="auto"/>
              <w:right w:val="single" w:sz="4" w:space="0" w:color="auto"/>
            </w:tcBorders>
            <w:shd w:val="clear" w:color="auto" w:fill="auto"/>
            <w:vAlign w:val="center"/>
            <w:hideMark/>
          </w:tcPr>
          <w:p w14:paraId="6A9FA11A"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-0.94%</w:t>
            </w:r>
          </w:p>
        </w:tc>
      </w:tr>
      <w:tr w:rsidR="00386DF1" w:rsidRPr="00386DF1" w14:paraId="0F065A65"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1F03F3D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其他非金属矿物制品业</w:t>
            </w:r>
          </w:p>
        </w:tc>
        <w:tc>
          <w:tcPr>
            <w:tcW w:w="1132" w:type="dxa"/>
            <w:tcBorders>
              <w:top w:val="nil"/>
              <w:left w:val="nil"/>
              <w:bottom w:val="single" w:sz="4" w:space="0" w:color="auto"/>
              <w:right w:val="single" w:sz="4" w:space="0" w:color="auto"/>
            </w:tcBorders>
            <w:shd w:val="clear" w:color="auto" w:fill="auto"/>
            <w:vAlign w:val="center"/>
            <w:hideMark/>
          </w:tcPr>
          <w:p w14:paraId="75AD28E2"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-0.94%</w:t>
            </w:r>
          </w:p>
        </w:tc>
      </w:tr>
      <w:tr w:rsidR="00386DF1" w:rsidRPr="00386DF1" w14:paraId="0F1E5AE4"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01C6849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食品、饮料和烟草业</w:t>
            </w:r>
          </w:p>
        </w:tc>
        <w:tc>
          <w:tcPr>
            <w:tcW w:w="1132" w:type="dxa"/>
            <w:tcBorders>
              <w:top w:val="nil"/>
              <w:left w:val="nil"/>
              <w:bottom w:val="single" w:sz="4" w:space="0" w:color="auto"/>
              <w:right w:val="single" w:sz="4" w:space="0" w:color="auto"/>
            </w:tcBorders>
            <w:shd w:val="clear" w:color="auto" w:fill="auto"/>
            <w:vAlign w:val="center"/>
            <w:hideMark/>
          </w:tcPr>
          <w:p w14:paraId="37D8B18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-0.96%</w:t>
            </w:r>
          </w:p>
        </w:tc>
      </w:tr>
      <w:tr w:rsidR="00386DF1" w:rsidRPr="00386DF1" w14:paraId="71A609BC"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1A9189B6"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金属和金属制品业</w:t>
            </w:r>
          </w:p>
        </w:tc>
        <w:tc>
          <w:tcPr>
            <w:tcW w:w="1132" w:type="dxa"/>
            <w:tcBorders>
              <w:top w:val="nil"/>
              <w:left w:val="nil"/>
              <w:bottom w:val="single" w:sz="4" w:space="0" w:color="auto"/>
              <w:right w:val="single" w:sz="4" w:space="0" w:color="auto"/>
            </w:tcBorders>
            <w:shd w:val="clear" w:color="auto" w:fill="auto"/>
            <w:vAlign w:val="center"/>
            <w:hideMark/>
          </w:tcPr>
          <w:p w14:paraId="5C5CDD6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-1.01%</w:t>
            </w:r>
          </w:p>
        </w:tc>
      </w:tr>
      <w:tr w:rsidR="00386DF1" w:rsidRPr="00386DF1" w14:paraId="5BF4D573"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09D06B49"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零售贸易（除了汽车和摩托车）,家用商品修理</w:t>
            </w:r>
          </w:p>
        </w:tc>
        <w:tc>
          <w:tcPr>
            <w:tcW w:w="1132" w:type="dxa"/>
            <w:tcBorders>
              <w:top w:val="nil"/>
              <w:left w:val="nil"/>
              <w:bottom w:val="single" w:sz="4" w:space="0" w:color="auto"/>
              <w:right w:val="single" w:sz="4" w:space="0" w:color="auto"/>
            </w:tcBorders>
            <w:shd w:val="clear" w:color="auto" w:fill="auto"/>
            <w:vAlign w:val="center"/>
            <w:hideMark/>
          </w:tcPr>
          <w:p w14:paraId="1BB077E9"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-1.29%</w:t>
            </w:r>
          </w:p>
        </w:tc>
      </w:tr>
      <w:tr w:rsidR="00386DF1" w:rsidRPr="00386DF1" w14:paraId="32875745" w14:textId="77777777" w:rsidTr="00823951">
        <w:trPr>
          <w:trHeight w:val="554"/>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5AAD7245"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化学品和化工产品制造业</w:t>
            </w:r>
          </w:p>
        </w:tc>
        <w:tc>
          <w:tcPr>
            <w:tcW w:w="1132" w:type="dxa"/>
            <w:tcBorders>
              <w:top w:val="nil"/>
              <w:left w:val="nil"/>
              <w:bottom w:val="single" w:sz="4" w:space="0" w:color="auto"/>
              <w:right w:val="single" w:sz="4" w:space="0" w:color="auto"/>
            </w:tcBorders>
            <w:shd w:val="clear" w:color="auto" w:fill="auto"/>
            <w:vAlign w:val="center"/>
            <w:hideMark/>
          </w:tcPr>
          <w:p w14:paraId="4B05A492"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-1.31%</w:t>
            </w:r>
          </w:p>
        </w:tc>
      </w:tr>
      <w:tr w:rsidR="00386DF1" w:rsidRPr="00386DF1" w14:paraId="0947A4B5"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0D2BD0EE"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lastRenderedPageBreak/>
              <w:t>其他支持和辅助运输业；旅行社活动</w:t>
            </w:r>
          </w:p>
        </w:tc>
        <w:tc>
          <w:tcPr>
            <w:tcW w:w="1132" w:type="dxa"/>
            <w:tcBorders>
              <w:top w:val="nil"/>
              <w:left w:val="nil"/>
              <w:bottom w:val="single" w:sz="4" w:space="0" w:color="auto"/>
              <w:right w:val="single" w:sz="4" w:space="0" w:color="auto"/>
            </w:tcBorders>
            <w:shd w:val="clear" w:color="auto" w:fill="auto"/>
            <w:vAlign w:val="center"/>
            <w:hideMark/>
          </w:tcPr>
          <w:p w14:paraId="64FAEC49"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-1.44%</w:t>
            </w:r>
          </w:p>
        </w:tc>
      </w:tr>
      <w:tr w:rsidR="00386DF1" w:rsidRPr="00386DF1" w14:paraId="2B199D85"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1C8674B8"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卫生和社会工作</w:t>
            </w:r>
          </w:p>
        </w:tc>
        <w:tc>
          <w:tcPr>
            <w:tcW w:w="1132" w:type="dxa"/>
            <w:tcBorders>
              <w:top w:val="nil"/>
              <w:left w:val="nil"/>
              <w:bottom w:val="single" w:sz="4" w:space="0" w:color="auto"/>
              <w:right w:val="single" w:sz="4" w:space="0" w:color="auto"/>
            </w:tcBorders>
            <w:shd w:val="clear" w:color="auto" w:fill="auto"/>
            <w:vAlign w:val="center"/>
            <w:hideMark/>
          </w:tcPr>
          <w:p w14:paraId="6D387CD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-1.47%</w:t>
            </w:r>
          </w:p>
        </w:tc>
      </w:tr>
      <w:tr w:rsidR="00386DF1" w:rsidRPr="00386DF1" w14:paraId="74E04FAC"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10BCBC54"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邮政通讯业</w:t>
            </w:r>
          </w:p>
        </w:tc>
        <w:tc>
          <w:tcPr>
            <w:tcW w:w="1132" w:type="dxa"/>
            <w:tcBorders>
              <w:top w:val="nil"/>
              <w:left w:val="nil"/>
              <w:bottom w:val="single" w:sz="4" w:space="0" w:color="auto"/>
              <w:right w:val="single" w:sz="4" w:space="0" w:color="auto"/>
            </w:tcBorders>
            <w:shd w:val="clear" w:color="auto" w:fill="auto"/>
            <w:vAlign w:val="center"/>
            <w:hideMark/>
          </w:tcPr>
          <w:p w14:paraId="3391A128"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-1.47%</w:t>
            </w:r>
          </w:p>
        </w:tc>
      </w:tr>
      <w:tr w:rsidR="00386DF1" w:rsidRPr="00386DF1" w14:paraId="37EC0ECA"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5C5D790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金融业</w:t>
            </w:r>
          </w:p>
        </w:tc>
        <w:tc>
          <w:tcPr>
            <w:tcW w:w="1132" w:type="dxa"/>
            <w:tcBorders>
              <w:top w:val="nil"/>
              <w:left w:val="nil"/>
              <w:bottom w:val="single" w:sz="4" w:space="0" w:color="auto"/>
              <w:right w:val="single" w:sz="4" w:space="0" w:color="auto"/>
            </w:tcBorders>
            <w:shd w:val="clear" w:color="auto" w:fill="auto"/>
            <w:vAlign w:val="center"/>
            <w:hideMark/>
          </w:tcPr>
          <w:p w14:paraId="08F847ED"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-1.49%</w:t>
            </w:r>
          </w:p>
        </w:tc>
      </w:tr>
      <w:tr w:rsidR="00386DF1" w:rsidRPr="00386DF1" w14:paraId="6C8C3185"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76001DFE"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纸浆、纸、纸张、印刷和出版业</w:t>
            </w:r>
          </w:p>
        </w:tc>
        <w:tc>
          <w:tcPr>
            <w:tcW w:w="1132" w:type="dxa"/>
            <w:tcBorders>
              <w:top w:val="nil"/>
              <w:left w:val="nil"/>
              <w:bottom w:val="single" w:sz="4" w:space="0" w:color="auto"/>
              <w:right w:val="single" w:sz="4" w:space="0" w:color="auto"/>
            </w:tcBorders>
            <w:shd w:val="clear" w:color="auto" w:fill="auto"/>
            <w:vAlign w:val="center"/>
            <w:hideMark/>
          </w:tcPr>
          <w:p w14:paraId="7D8B8577"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-1.50%</w:t>
            </w:r>
          </w:p>
        </w:tc>
      </w:tr>
      <w:tr w:rsidR="00386DF1" w:rsidRPr="00386DF1" w14:paraId="2AD55B8A"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5954AEEE"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木材、木材制品业</w:t>
            </w:r>
          </w:p>
        </w:tc>
        <w:tc>
          <w:tcPr>
            <w:tcW w:w="1132" w:type="dxa"/>
            <w:tcBorders>
              <w:top w:val="nil"/>
              <w:left w:val="nil"/>
              <w:bottom w:val="single" w:sz="4" w:space="0" w:color="auto"/>
              <w:right w:val="single" w:sz="4" w:space="0" w:color="auto"/>
            </w:tcBorders>
            <w:shd w:val="clear" w:color="auto" w:fill="auto"/>
            <w:vAlign w:val="center"/>
            <w:hideMark/>
          </w:tcPr>
          <w:p w14:paraId="20C7C4CB"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-1.52%</w:t>
            </w:r>
          </w:p>
        </w:tc>
      </w:tr>
      <w:tr w:rsidR="00386DF1" w:rsidRPr="00386DF1" w14:paraId="076E2A39"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56259506"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酒店和餐饮业</w:t>
            </w:r>
          </w:p>
        </w:tc>
        <w:tc>
          <w:tcPr>
            <w:tcW w:w="1132" w:type="dxa"/>
            <w:tcBorders>
              <w:top w:val="nil"/>
              <w:left w:val="nil"/>
              <w:bottom w:val="single" w:sz="4" w:space="0" w:color="auto"/>
              <w:right w:val="single" w:sz="4" w:space="0" w:color="auto"/>
            </w:tcBorders>
            <w:shd w:val="clear" w:color="auto" w:fill="auto"/>
            <w:vAlign w:val="center"/>
            <w:hideMark/>
          </w:tcPr>
          <w:p w14:paraId="7AD2E37D"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-1.57%</w:t>
            </w:r>
          </w:p>
        </w:tc>
      </w:tr>
      <w:tr w:rsidR="00386DF1" w:rsidRPr="00386DF1" w14:paraId="232933D9"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28569145"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房地产业</w:t>
            </w:r>
          </w:p>
        </w:tc>
        <w:tc>
          <w:tcPr>
            <w:tcW w:w="1132" w:type="dxa"/>
            <w:tcBorders>
              <w:top w:val="nil"/>
              <w:left w:val="nil"/>
              <w:bottom w:val="single" w:sz="4" w:space="0" w:color="auto"/>
              <w:right w:val="single" w:sz="4" w:space="0" w:color="auto"/>
            </w:tcBorders>
            <w:shd w:val="clear" w:color="auto" w:fill="auto"/>
            <w:vAlign w:val="center"/>
            <w:hideMark/>
          </w:tcPr>
          <w:p w14:paraId="1C0FBF4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-1.62%</w:t>
            </w:r>
          </w:p>
        </w:tc>
      </w:tr>
      <w:tr w:rsidR="00386DF1" w:rsidRPr="00386DF1" w14:paraId="4598BB42"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7EB6E2BF"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橡胶和塑料制品业</w:t>
            </w:r>
          </w:p>
        </w:tc>
        <w:tc>
          <w:tcPr>
            <w:tcW w:w="1132" w:type="dxa"/>
            <w:tcBorders>
              <w:top w:val="nil"/>
              <w:left w:val="nil"/>
              <w:bottom w:val="single" w:sz="4" w:space="0" w:color="auto"/>
              <w:right w:val="single" w:sz="4" w:space="0" w:color="auto"/>
            </w:tcBorders>
            <w:shd w:val="clear" w:color="auto" w:fill="auto"/>
            <w:vAlign w:val="center"/>
            <w:hideMark/>
          </w:tcPr>
          <w:p w14:paraId="4925AE3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-1.64%</w:t>
            </w:r>
          </w:p>
        </w:tc>
      </w:tr>
      <w:tr w:rsidR="00386DF1" w:rsidRPr="00386DF1" w14:paraId="3FF90417"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0F54BFED"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航空运输业</w:t>
            </w:r>
          </w:p>
        </w:tc>
        <w:tc>
          <w:tcPr>
            <w:tcW w:w="1132" w:type="dxa"/>
            <w:tcBorders>
              <w:top w:val="nil"/>
              <w:left w:val="nil"/>
              <w:bottom w:val="single" w:sz="4" w:space="0" w:color="auto"/>
              <w:right w:val="single" w:sz="4" w:space="0" w:color="auto"/>
            </w:tcBorders>
            <w:shd w:val="clear" w:color="auto" w:fill="auto"/>
            <w:vAlign w:val="center"/>
            <w:hideMark/>
          </w:tcPr>
          <w:p w14:paraId="41539E9F"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-1.67%</w:t>
            </w:r>
          </w:p>
        </w:tc>
      </w:tr>
      <w:tr w:rsidR="00386DF1" w:rsidRPr="00386DF1" w14:paraId="629413A2"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4F1EC76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电气和光学设备制造业</w:t>
            </w:r>
          </w:p>
        </w:tc>
        <w:tc>
          <w:tcPr>
            <w:tcW w:w="1132" w:type="dxa"/>
            <w:tcBorders>
              <w:top w:val="nil"/>
              <w:left w:val="nil"/>
              <w:bottom w:val="single" w:sz="4" w:space="0" w:color="auto"/>
              <w:right w:val="single" w:sz="4" w:space="0" w:color="auto"/>
            </w:tcBorders>
            <w:shd w:val="clear" w:color="auto" w:fill="auto"/>
            <w:vAlign w:val="center"/>
            <w:hideMark/>
          </w:tcPr>
          <w:p w14:paraId="6AD4036B"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-1.75%</w:t>
            </w:r>
          </w:p>
        </w:tc>
      </w:tr>
      <w:tr w:rsidR="00386DF1" w:rsidRPr="00386DF1" w14:paraId="1A941C35"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65C2201D"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设备制造业</w:t>
            </w:r>
          </w:p>
        </w:tc>
        <w:tc>
          <w:tcPr>
            <w:tcW w:w="1132" w:type="dxa"/>
            <w:tcBorders>
              <w:top w:val="nil"/>
              <w:left w:val="nil"/>
              <w:bottom w:val="single" w:sz="4" w:space="0" w:color="auto"/>
              <w:right w:val="single" w:sz="4" w:space="0" w:color="auto"/>
            </w:tcBorders>
            <w:shd w:val="clear" w:color="auto" w:fill="auto"/>
            <w:vAlign w:val="center"/>
            <w:hideMark/>
          </w:tcPr>
          <w:p w14:paraId="6356F8D0"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-1.89%</w:t>
            </w:r>
          </w:p>
        </w:tc>
      </w:tr>
      <w:tr w:rsidR="00386DF1" w:rsidRPr="00386DF1" w14:paraId="6D2A435D"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3F0ACC29"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运输设备业</w:t>
            </w:r>
          </w:p>
        </w:tc>
        <w:tc>
          <w:tcPr>
            <w:tcW w:w="1132" w:type="dxa"/>
            <w:tcBorders>
              <w:top w:val="nil"/>
              <w:left w:val="nil"/>
              <w:bottom w:val="single" w:sz="4" w:space="0" w:color="auto"/>
              <w:right w:val="single" w:sz="4" w:space="0" w:color="auto"/>
            </w:tcBorders>
            <w:shd w:val="clear" w:color="auto" w:fill="auto"/>
            <w:vAlign w:val="center"/>
            <w:hideMark/>
          </w:tcPr>
          <w:p w14:paraId="1C470F7F"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-1.89%</w:t>
            </w:r>
          </w:p>
        </w:tc>
      </w:tr>
      <w:tr w:rsidR="00386DF1" w:rsidRPr="00386DF1" w14:paraId="456774B4"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09674AE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其他社区、社会和个人服务</w:t>
            </w:r>
          </w:p>
        </w:tc>
        <w:tc>
          <w:tcPr>
            <w:tcW w:w="1132" w:type="dxa"/>
            <w:tcBorders>
              <w:top w:val="nil"/>
              <w:left w:val="nil"/>
              <w:bottom w:val="single" w:sz="4" w:space="0" w:color="auto"/>
              <w:right w:val="single" w:sz="4" w:space="0" w:color="auto"/>
            </w:tcBorders>
            <w:shd w:val="clear" w:color="auto" w:fill="auto"/>
            <w:vAlign w:val="center"/>
            <w:hideMark/>
          </w:tcPr>
          <w:p w14:paraId="5AB0A2EE"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-2.14%</w:t>
            </w:r>
          </w:p>
        </w:tc>
      </w:tr>
      <w:tr w:rsidR="00386DF1" w:rsidRPr="00386DF1" w14:paraId="2276E7BC"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2CF4FAFA"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皮革,皮革制品和鞋业</w:t>
            </w:r>
          </w:p>
        </w:tc>
        <w:tc>
          <w:tcPr>
            <w:tcW w:w="1132" w:type="dxa"/>
            <w:tcBorders>
              <w:top w:val="nil"/>
              <w:left w:val="nil"/>
              <w:bottom w:val="single" w:sz="4" w:space="0" w:color="auto"/>
              <w:right w:val="single" w:sz="4" w:space="0" w:color="auto"/>
            </w:tcBorders>
            <w:shd w:val="clear" w:color="auto" w:fill="auto"/>
            <w:vAlign w:val="center"/>
            <w:hideMark/>
          </w:tcPr>
          <w:p w14:paraId="4D4D1DA3"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-2.16%</w:t>
            </w:r>
          </w:p>
        </w:tc>
      </w:tr>
      <w:tr w:rsidR="00386DF1" w:rsidRPr="00386DF1" w14:paraId="0AC73BF4"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46A4D1E4"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租赁和商务服务业</w:t>
            </w:r>
          </w:p>
        </w:tc>
        <w:tc>
          <w:tcPr>
            <w:tcW w:w="1132" w:type="dxa"/>
            <w:tcBorders>
              <w:top w:val="nil"/>
              <w:left w:val="nil"/>
              <w:bottom w:val="single" w:sz="4" w:space="0" w:color="auto"/>
              <w:right w:val="single" w:sz="4" w:space="0" w:color="auto"/>
            </w:tcBorders>
            <w:shd w:val="clear" w:color="auto" w:fill="auto"/>
            <w:vAlign w:val="center"/>
            <w:hideMark/>
          </w:tcPr>
          <w:p w14:paraId="3C14F351"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-2.32%</w:t>
            </w:r>
          </w:p>
        </w:tc>
      </w:tr>
      <w:tr w:rsidR="00386DF1" w:rsidRPr="00386DF1" w14:paraId="3F5BEA6C"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auto" w:fill="auto"/>
            <w:vAlign w:val="center"/>
            <w:hideMark/>
          </w:tcPr>
          <w:p w14:paraId="1853A4BC"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教育</w:t>
            </w:r>
          </w:p>
        </w:tc>
        <w:tc>
          <w:tcPr>
            <w:tcW w:w="1132" w:type="dxa"/>
            <w:tcBorders>
              <w:top w:val="nil"/>
              <w:left w:val="nil"/>
              <w:bottom w:val="single" w:sz="4" w:space="0" w:color="auto"/>
              <w:right w:val="single" w:sz="4" w:space="0" w:color="auto"/>
            </w:tcBorders>
            <w:shd w:val="clear" w:color="auto" w:fill="auto"/>
            <w:vAlign w:val="center"/>
            <w:hideMark/>
          </w:tcPr>
          <w:p w14:paraId="5BE37066"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-2.51%</w:t>
            </w:r>
          </w:p>
        </w:tc>
      </w:tr>
      <w:tr w:rsidR="00386DF1" w:rsidRPr="00386DF1" w14:paraId="6A14A1BD" w14:textId="77777777" w:rsidTr="00823951">
        <w:trPr>
          <w:trHeight w:val="56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443D0441"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其他制造业（含回收利用）</w:t>
            </w:r>
          </w:p>
        </w:tc>
        <w:tc>
          <w:tcPr>
            <w:tcW w:w="1132" w:type="dxa"/>
            <w:tcBorders>
              <w:top w:val="nil"/>
              <w:left w:val="nil"/>
              <w:bottom w:val="single" w:sz="4" w:space="0" w:color="auto"/>
              <w:right w:val="single" w:sz="4" w:space="0" w:color="auto"/>
            </w:tcBorders>
            <w:shd w:val="clear" w:color="auto" w:fill="auto"/>
            <w:vAlign w:val="center"/>
            <w:hideMark/>
          </w:tcPr>
          <w:p w14:paraId="73D91557"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-2.59%</w:t>
            </w:r>
          </w:p>
        </w:tc>
      </w:tr>
      <w:tr w:rsidR="00386DF1" w:rsidRPr="00386DF1" w14:paraId="581E34E3" w14:textId="77777777" w:rsidTr="00823951">
        <w:trPr>
          <w:trHeight w:val="280"/>
          <w:jc w:val="center"/>
        </w:trPr>
        <w:tc>
          <w:tcPr>
            <w:tcW w:w="4450" w:type="dxa"/>
            <w:tcBorders>
              <w:top w:val="nil"/>
              <w:left w:val="single" w:sz="4" w:space="0" w:color="auto"/>
              <w:bottom w:val="single" w:sz="4" w:space="0" w:color="auto"/>
              <w:right w:val="single" w:sz="4" w:space="0" w:color="auto"/>
            </w:tcBorders>
            <w:shd w:val="clear" w:color="000000" w:fill="FFFF00"/>
            <w:vAlign w:val="center"/>
            <w:hideMark/>
          </w:tcPr>
          <w:p w14:paraId="348DC8AC"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建筑业</w:t>
            </w:r>
          </w:p>
        </w:tc>
        <w:tc>
          <w:tcPr>
            <w:tcW w:w="1132" w:type="dxa"/>
            <w:tcBorders>
              <w:top w:val="nil"/>
              <w:left w:val="nil"/>
              <w:bottom w:val="single" w:sz="4" w:space="0" w:color="auto"/>
              <w:right w:val="single" w:sz="4" w:space="0" w:color="auto"/>
            </w:tcBorders>
            <w:shd w:val="clear" w:color="auto" w:fill="auto"/>
            <w:vAlign w:val="center"/>
            <w:hideMark/>
          </w:tcPr>
          <w:p w14:paraId="3E582F5F" w14:textId="77777777" w:rsidR="00386DF1" w:rsidRPr="00386DF1" w:rsidRDefault="00386DF1" w:rsidP="00386DF1">
            <w:pPr>
              <w:widowControl/>
              <w:jc w:val="center"/>
              <w:rPr>
                <w:rFonts w:ascii="等线" w:eastAsia="等线" w:hAnsi="等线" w:cs="宋体" w:hint="eastAsia"/>
                <w:color w:val="000000"/>
                <w:kern w:val="0"/>
                <w:sz w:val="22"/>
              </w:rPr>
            </w:pPr>
            <w:r w:rsidRPr="00386DF1">
              <w:rPr>
                <w:rFonts w:ascii="等线" w:eastAsia="等线" w:hAnsi="等线" w:cs="宋体" w:hint="eastAsia"/>
                <w:color w:val="000000"/>
                <w:kern w:val="0"/>
                <w:sz w:val="22"/>
              </w:rPr>
              <w:t>-2.89%</w:t>
            </w:r>
          </w:p>
        </w:tc>
      </w:tr>
    </w:tbl>
    <w:p w14:paraId="406D31C5" w14:textId="77777777" w:rsidR="00963E97" w:rsidRDefault="00963E97" w:rsidP="001C2CCA">
      <w:pPr>
        <w:spacing w:line="360" w:lineRule="auto"/>
        <w:jc w:val="center"/>
        <w:rPr>
          <w:rFonts w:ascii="Times New Roman" w:eastAsia="宋体" w:hAnsi="Times New Roman" w:cs="Times New Roman"/>
          <w:sz w:val="24"/>
          <w:szCs w:val="24"/>
        </w:rPr>
      </w:pPr>
    </w:p>
    <w:sectPr w:rsidR="00963E97" w:rsidSect="00816FFB">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1DA8" w14:textId="77777777" w:rsidR="00816FFB" w:rsidRDefault="00816FFB" w:rsidP="00963E97">
      <w:r>
        <w:separator/>
      </w:r>
    </w:p>
  </w:endnote>
  <w:endnote w:type="continuationSeparator" w:id="0">
    <w:p w14:paraId="5FED954D" w14:textId="77777777" w:rsidR="00816FFB" w:rsidRDefault="00816FFB" w:rsidP="0096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2714" w14:textId="77777777" w:rsidR="00816FFB" w:rsidRDefault="00816FFB" w:rsidP="00963E97">
      <w:r>
        <w:separator/>
      </w:r>
    </w:p>
  </w:footnote>
  <w:footnote w:type="continuationSeparator" w:id="0">
    <w:p w14:paraId="1D6C2F57" w14:textId="77777777" w:rsidR="00816FFB" w:rsidRDefault="00816FFB" w:rsidP="0096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0929" w14:textId="77777777" w:rsidR="00963E97" w:rsidRDefault="00000000">
    <w:pPr>
      <w:pStyle w:val="a8"/>
    </w:pPr>
    <w:r>
      <w:pict w14:anchorId="4BD8E243">
        <v:rect id="_x0000_s1026" style="position:absolute;left:0;text-align:left;margin-left:90pt;margin-top:37.85pt;width:468.5pt;height:21.3pt;z-index:-251658752;mso-width-percent:1000;mso-height-percent:27;mso-wrap-distance-left:9.35pt;mso-wrap-distance-right:9.35pt;mso-position-horizontal-relative:page;mso-position-vertical-relative:page;mso-width-percent:1000;mso-height-percent:27;mso-width-relative:margin;v-text-anchor:middle" o:gfxdata="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tP9iNUAAAAE&#10;AQAADwAAAAAAAAABACAAAAAiAAAAZHJzL2Rvd25yZXYueG1sUEsBAhQAFAAAAAgAh07iQBlJFBlY&#10;AgAAjAQAAA4AAAAAAAAAAQAgAAAAJAEAAGRycy9lMm9Eb2MueG1sUEsFBgAAAAAGAAYAWQEAAO4F&#10;AAAAAA==&#10;" o:allowoverlap="f" fillcolor="#4472c4 [3204]" stroked="f" strokeweight="1pt">
          <v:textbox style="mso-fit-shape-to-text:t">
            <w:txbxContent>
              <w:sdt>
                <w:sdtPr>
                  <w:rPr>
                    <w:rFonts w:ascii="黑体" w:eastAsia="黑体" w:hAnsi="黑体" w:cs="Times New Roman"/>
                    <w:b/>
                    <w:caps/>
                    <w:color w:val="FFFFFF" w:themeColor="background1"/>
                    <w:sz w:val="28"/>
                    <w:szCs w:val="28"/>
                  </w:rPr>
                  <w:alias w:val="标题"/>
                  <w:id w:val="1189017394"/>
                  <w:text/>
                </w:sdtPr>
                <w:sdtContent>
                  <w:p w14:paraId="5A6D01B3" w14:textId="77777777" w:rsidR="00963E97" w:rsidRDefault="00DD286C">
                    <w:pPr>
                      <w:pStyle w:val="a8"/>
                      <w:jc w:val="right"/>
                      <w:rPr>
                        <w:caps/>
                        <w:color w:val="FFFFFF" w:themeColor="background1"/>
                      </w:rPr>
                    </w:pPr>
                    <w:r>
                      <w:rPr>
                        <w:rFonts w:ascii="黑体" w:eastAsia="黑体" w:hAnsi="黑体" w:cs="Times New Roman"/>
                        <w:b/>
                        <w:caps/>
                        <w:color w:val="FFFFFF" w:themeColor="background1"/>
                        <w:sz w:val="28"/>
                        <w:szCs w:val="28"/>
                      </w:rPr>
                      <w:t>IWEP-HEER数据月报</w:t>
                    </w:r>
                  </w:p>
                </w:sdtContent>
              </w:sdt>
            </w:txbxContent>
          </v:textbox>
          <w10:wrap type="square" anchorx="page"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20555"/>
    <w:rsid w:val="000205AA"/>
    <w:rsid w:val="0002096D"/>
    <w:rsid w:val="00030BDE"/>
    <w:rsid w:val="000556CA"/>
    <w:rsid w:val="0007300A"/>
    <w:rsid w:val="0007302D"/>
    <w:rsid w:val="000C3BFF"/>
    <w:rsid w:val="000E6CCC"/>
    <w:rsid w:val="000F7043"/>
    <w:rsid w:val="00147E12"/>
    <w:rsid w:val="001657EF"/>
    <w:rsid w:val="001A0A21"/>
    <w:rsid w:val="001A5BBB"/>
    <w:rsid w:val="001C2CCA"/>
    <w:rsid w:val="001D5E53"/>
    <w:rsid w:val="001F430C"/>
    <w:rsid w:val="001F4C85"/>
    <w:rsid w:val="002034D7"/>
    <w:rsid w:val="002041B5"/>
    <w:rsid w:val="00210905"/>
    <w:rsid w:val="00227C68"/>
    <w:rsid w:val="00264D6C"/>
    <w:rsid w:val="00267C28"/>
    <w:rsid w:val="00287A15"/>
    <w:rsid w:val="002E1669"/>
    <w:rsid w:val="002E5988"/>
    <w:rsid w:val="002F79CC"/>
    <w:rsid w:val="0030403D"/>
    <w:rsid w:val="0033361A"/>
    <w:rsid w:val="0033543A"/>
    <w:rsid w:val="00364641"/>
    <w:rsid w:val="00366EE3"/>
    <w:rsid w:val="00386DF1"/>
    <w:rsid w:val="003B0439"/>
    <w:rsid w:val="003B4BDC"/>
    <w:rsid w:val="003D244B"/>
    <w:rsid w:val="003E3C05"/>
    <w:rsid w:val="003E40C8"/>
    <w:rsid w:val="00420555"/>
    <w:rsid w:val="00420EED"/>
    <w:rsid w:val="00435F59"/>
    <w:rsid w:val="0044627C"/>
    <w:rsid w:val="00484922"/>
    <w:rsid w:val="004A5A27"/>
    <w:rsid w:val="004C61F1"/>
    <w:rsid w:val="004F5D81"/>
    <w:rsid w:val="00503137"/>
    <w:rsid w:val="00506398"/>
    <w:rsid w:val="00510CF4"/>
    <w:rsid w:val="00520AE0"/>
    <w:rsid w:val="005401B4"/>
    <w:rsid w:val="00581E14"/>
    <w:rsid w:val="00590700"/>
    <w:rsid w:val="005A3D37"/>
    <w:rsid w:val="005B7DA5"/>
    <w:rsid w:val="005C5B25"/>
    <w:rsid w:val="005F1EFD"/>
    <w:rsid w:val="005F29DE"/>
    <w:rsid w:val="006002D1"/>
    <w:rsid w:val="00626C75"/>
    <w:rsid w:val="0063138E"/>
    <w:rsid w:val="006418F3"/>
    <w:rsid w:val="006617DC"/>
    <w:rsid w:val="0066223B"/>
    <w:rsid w:val="0066259E"/>
    <w:rsid w:val="00673ABE"/>
    <w:rsid w:val="00681E99"/>
    <w:rsid w:val="00696DBB"/>
    <w:rsid w:val="006B6952"/>
    <w:rsid w:val="006C0701"/>
    <w:rsid w:val="006C3B74"/>
    <w:rsid w:val="0070118B"/>
    <w:rsid w:val="0072145D"/>
    <w:rsid w:val="00733853"/>
    <w:rsid w:val="00735A5F"/>
    <w:rsid w:val="0077323E"/>
    <w:rsid w:val="00795BFE"/>
    <w:rsid w:val="007A065F"/>
    <w:rsid w:val="007C10A0"/>
    <w:rsid w:val="007C1E64"/>
    <w:rsid w:val="007F3BAD"/>
    <w:rsid w:val="00816FFB"/>
    <w:rsid w:val="00823951"/>
    <w:rsid w:val="0087353E"/>
    <w:rsid w:val="00884DA6"/>
    <w:rsid w:val="00897E54"/>
    <w:rsid w:val="008B2ABC"/>
    <w:rsid w:val="00930401"/>
    <w:rsid w:val="00934FD1"/>
    <w:rsid w:val="0093749D"/>
    <w:rsid w:val="00963E97"/>
    <w:rsid w:val="00971781"/>
    <w:rsid w:val="00973962"/>
    <w:rsid w:val="00996244"/>
    <w:rsid w:val="009A228C"/>
    <w:rsid w:val="009D10D5"/>
    <w:rsid w:val="009F1DB0"/>
    <w:rsid w:val="00A0337F"/>
    <w:rsid w:val="00A15F73"/>
    <w:rsid w:val="00A33B71"/>
    <w:rsid w:val="00A40302"/>
    <w:rsid w:val="00A522C7"/>
    <w:rsid w:val="00A62132"/>
    <w:rsid w:val="00A62A9C"/>
    <w:rsid w:val="00A76629"/>
    <w:rsid w:val="00A768B8"/>
    <w:rsid w:val="00A868FC"/>
    <w:rsid w:val="00A952E7"/>
    <w:rsid w:val="00AB160F"/>
    <w:rsid w:val="00AD0AB1"/>
    <w:rsid w:val="00AF6541"/>
    <w:rsid w:val="00AF7659"/>
    <w:rsid w:val="00B35328"/>
    <w:rsid w:val="00B360F5"/>
    <w:rsid w:val="00B43D85"/>
    <w:rsid w:val="00BA7900"/>
    <w:rsid w:val="00BB5ED9"/>
    <w:rsid w:val="00BE4C5C"/>
    <w:rsid w:val="00BF02B2"/>
    <w:rsid w:val="00C45ABA"/>
    <w:rsid w:val="00C5237E"/>
    <w:rsid w:val="00C57878"/>
    <w:rsid w:val="00C968D0"/>
    <w:rsid w:val="00CB292B"/>
    <w:rsid w:val="00CB33FE"/>
    <w:rsid w:val="00CC1B60"/>
    <w:rsid w:val="00CC52EF"/>
    <w:rsid w:val="00CD328F"/>
    <w:rsid w:val="00CE77E0"/>
    <w:rsid w:val="00D33DCD"/>
    <w:rsid w:val="00D34FE2"/>
    <w:rsid w:val="00D44972"/>
    <w:rsid w:val="00DB1B58"/>
    <w:rsid w:val="00DC389B"/>
    <w:rsid w:val="00DD286C"/>
    <w:rsid w:val="00E0231C"/>
    <w:rsid w:val="00E25128"/>
    <w:rsid w:val="00E5333D"/>
    <w:rsid w:val="00E6154C"/>
    <w:rsid w:val="00E64D05"/>
    <w:rsid w:val="00E86EE5"/>
    <w:rsid w:val="00E8756C"/>
    <w:rsid w:val="00EC5B11"/>
    <w:rsid w:val="00EE143F"/>
    <w:rsid w:val="00EF48EB"/>
    <w:rsid w:val="00F16000"/>
    <w:rsid w:val="00F16984"/>
    <w:rsid w:val="00F30C3C"/>
    <w:rsid w:val="00FB13AE"/>
    <w:rsid w:val="00FB312C"/>
    <w:rsid w:val="00FB699C"/>
    <w:rsid w:val="00FC627E"/>
    <w:rsid w:val="00FE1C7E"/>
    <w:rsid w:val="00FF7396"/>
    <w:rsid w:val="1016162C"/>
    <w:rsid w:val="274B52E3"/>
    <w:rsid w:val="4C372485"/>
    <w:rsid w:val="565A0026"/>
    <w:rsid w:val="65EB2A13"/>
    <w:rsid w:val="664622BD"/>
    <w:rsid w:val="7BCC4B9B"/>
    <w:rsid w:val="7C1A214A"/>
    <w:rsid w:val="7DE50D2D"/>
    <w:rsid w:val="7E3F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BDE99"/>
  <w15:docId w15:val="{CBA9CEDD-AD7C-4564-BD3B-0E3CC2C1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E9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3E97"/>
    <w:rPr>
      <w:rFonts w:asciiTheme="majorHAnsi" w:eastAsia="黑体" w:hAnsiTheme="majorHAnsi" w:cstheme="majorBidi"/>
      <w:sz w:val="20"/>
      <w:szCs w:val="20"/>
    </w:rPr>
  </w:style>
  <w:style w:type="paragraph" w:styleId="a4">
    <w:name w:val="Balloon Text"/>
    <w:basedOn w:val="a"/>
    <w:link w:val="a5"/>
    <w:uiPriority w:val="99"/>
    <w:semiHidden/>
    <w:unhideWhenUsed/>
    <w:qFormat/>
    <w:rsid w:val="00963E97"/>
    <w:rPr>
      <w:sz w:val="18"/>
      <w:szCs w:val="18"/>
    </w:rPr>
  </w:style>
  <w:style w:type="paragraph" w:styleId="a6">
    <w:name w:val="footer"/>
    <w:basedOn w:val="a"/>
    <w:link w:val="a7"/>
    <w:uiPriority w:val="99"/>
    <w:unhideWhenUsed/>
    <w:qFormat/>
    <w:rsid w:val="00963E97"/>
    <w:pPr>
      <w:tabs>
        <w:tab w:val="center" w:pos="4153"/>
        <w:tab w:val="right" w:pos="8306"/>
      </w:tabs>
      <w:snapToGrid w:val="0"/>
      <w:jc w:val="left"/>
    </w:pPr>
    <w:rPr>
      <w:sz w:val="18"/>
      <w:szCs w:val="18"/>
    </w:rPr>
  </w:style>
  <w:style w:type="paragraph" w:styleId="a8">
    <w:name w:val="header"/>
    <w:basedOn w:val="a"/>
    <w:link w:val="a9"/>
    <w:uiPriority w:val="99"/>
    <w:unhideWhenUsed/>
    <w:qFormat/>
    <w:rsid w:val="00963E97"/>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sid w:val="00963E97"/>
    <w:rPr>
      <w:color w:val="0563C1" w:themeColor="hyperlink"/>
      <w:u w:val="single"/>
    </w:rPr>
  </w:style>
  <w:style w:type="character" w:customStyle="1" w:styleId="a9">
    <w:name w:val="页眉 字符"/>
    <w:basedOn w:val="a0"/>
    <w:link w:val="a8"/>
    <w:uiPriority w:val="99"/>
    <w:qFormat/>
    <w:rsid w:val="00963E97"/>
    <w:rPr>
      <w:sz w:val="18"/>
      <w:szCs w:val="18"/>
    </w:rPr>
  </w:style>
  <w:style w:type="character" w:customStyle="1" w:styleId="a7">
    <w:name w:val="页脚 字符"/>
    <w:basedOn w:val="a0"/>
    <w:link w:val="a6"/>
    <w:uiPriority w:val="99"/>
    <w:qFormat/>
    <w:rsid w:val="00963E97"/>
    <w:rPr>
      <w:sz w:val="18"/>
      <w:szCs w:val="18"/>
    </w:rPr>
  </w:style>
  <w:style w:type="paragraph" w:styleId="ab">
    <w:name w:val="List Paragraph"/>
    <w:basedOn w:val="a"/>
    <w:uiPriority w:val="34"/>
    <w:qFormat/>
    <w:rsid w:val="00963E97"/>
    <w:pPr>
      <w:ind w:firstLineChars="200" w:firstLine="420"/>
    </w:pPr>
  </w:style>
  <w:style w:type="character" w:customStyle="1" w:styleId="a5">
    <w:name w:val="批注框文本 字符"/>
    <w:basedOn w:val="a0"/>
    <w:link w:val="a4"/>
    <w:uiPriority w:val="99"/>
    <w:semiHidden/>
    <w:qFormat/>
    <w:rsid w:val="00963E97"/>
    <w:rPr>
      <w:sz w:val="18"/>
      <w:szCs w:val="18"/>
    </w:rPr>
  </w:style>
  <w:style w:type="character" w:customStyle="1" w:styleId="1">
    <w:name w:val="@他1"/>
    <w:basedOn w:val="a0"/>
    <w:uiPriority w:val="99"/>
    <w:semiHidden/>
    <w:unhideWhenUsed/>
    <w:qFormat/>
    <w:rsid w:val="00963E9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3718">
      <w:bodyDiv w:val="1"/>
      <w:marLeft w:val="0"/>
      <w:marRight w:val="0"/>
      <w:marTop w:val="0"/>
      <w:marBottom w:val="0"/>
      <w:divBdr>
        <w:top w:val="none" w:sz="0" w:space="0" w:color="auto"/>
        <w:left w:val="none" w:sz="0" w:space="0" w:color="auto"/>
        <w:bottom w:val="none" w:sz="0" w:space="0" w:color="auto"/>
        <w:right w:val="none" w:sz="0" w:space="0" w:color="auto"/>
      </w:divBdr>
    </w:div>
    <w:div w:id="597063272">
      <w:bodyDiv w:val="1"/>
      <w:marLeft w:val="0"/>
      <w:marRight w:val="0"/>
      <w:marTop w:val="0"/>
      <w:marBottom w:val="0"/>
      <w:divBdr>
        <w:top w:val="none" w:sz="0" w:space="0" w:color="auto"/>
        <w:left w:val="none" w:sz="0" w:space="0" w:color="auto"/>
        <w:bottom w:val="none" w:sz="0" w:space="0" w:color="auto"/>
        <w:right w:val="none" w:sz="0" w:space="0" w:color="auto"/>
      </w:divBdr>
    </w:div>
    <w:div w:id="689112560">
      <w:bodyDiv w:val="1"/>
      <w:marLeft w:val="0"/>
      <w:marRight w:val="0"/>
      <w:marTop w:val="0"/>
      <w:marBottom w:val="0"/>
      <w:divBdr>
        <w:top w:val="none" w:sz="0" w:space="0" w:color="auto"/>
        <w:left w:val="none" w:sz="0" w:space="0" w:color="auto"/>
        <w:bottom w:val="none" w:sz="0" w:space="0" w:color="auto"/>
        <w:right w:val="none" w:sz="0" w:space="0" w:color="auto"/>
      </w:divBdr>
    </w:div>
    <w:div w:id="742217215">
      <w:bodyDiv w:val="1"/>
      <w:marLeft w:val="0"/>
      <w:marRight w:val="0"/>
      <w:marTop w:val="0"/>
      <w:marBottom w:val="0"/>
      <w:divBdr>
        <w:top w:val="none" w:sz="0" w:space="0" w:color="auto"/>
        <w:left w:val="none" w:sz="0" w:space="0" w:color="auto"/>
        <w:bottom w:val="none" w:sz="0" w:space="0" w:color="auto"/>
        <w:right w:val="none" w:sz="0" w:space="0" w:color="auto"/>
      </w:divBdr>
    </w:div>
    <w:div w:id="754864375">
      <w:bodyDiv w:val="1"/>
      <w:marLeft w:val="0"/>
      <w:marRight w:val="0"/>
      <w:marTop w:val="0"/>
      <w:marBottom w:val="0"/>
      <w:divBdr>
        <w:top w:val="none" w:sz="0" w:space="0" w:color="auto"/>
        <w:left w:val="none" w:sz="0" w:space="0" w:color="auto"/>
        <w:bottom w:val="none" w:sz="0" w:space="0" w:color="auto"/>
        <w:right w:val="none" w:sz="0" w:space="0" w:color="auto"/>
      </w:divBdr>
    </w:div>
    <w:div w:id="756563309">
      <w:bodyDiv w:val="1"/>
      <w:marLeft w:val="0"/>
      <w:marRight w:val="0"/>
      <w:marTop w:val="0"/>
      <w:marBottom w:val="0"/>
      <w:divBdr>
        <w:top w:val="none" w:sz="0" w:space="0" w:color="auto"/>
        <w:left w:val="none" w:sz="0" w:space="0" w:color="auto"/>
        <w:bottom w:val="none" w:sz="0" w:space="0" w:color="auto"/>
        <w:right w:val="none" w:sz="0" w:space="0" w:color="auto"/>
      </w:divBdr>
    </w:div>
    <w:div w:id="800080499">
      <w:bodyDiv w:val="1"/>
      <w:marLeft w:val="0"/>
      <w:marRight w:val="0"/>
      <w:marTop w:val="0"/>
      <w:marBottom w:val="0"/>
      <w:divBdr>
        <w:top w:val="none" w:sz="0" w:space="0" w:color="auto"/>
        <w:left w:val="none" w:sz="0" w:space="0" w:color="auto"/>
        <w:bottom w:val="none" w:sz="0" w:space="0" w:color="auto"/>
        <w:right w:val="none" w:sz="0" w:space="0" w:color="auto"/>
      </w:divBdr>
    </w:div>
    <w:div w:id="819613417">
      <w:bodyDiv w:val="1"/>
      <w:marLeft w:val="0"/>
      <w:marRight w:val="0"/>
      <w:marTop w:val="0"/>
      <w:marBottom w:val="0"/>
      <w:divBdr>
        <w:top w:val="none" w:sz="0" w:space="0" w:color="auto"/>
        <w:left w:val="none" w:sz="0" w:space="0" w:color="auto"/>
        <w:bottom w:val="none" w:sz="0" w:space="0" w:color="auto"/>
        <w:right w:val="none" w:sz="0" w:space="0" w:color="auto"/>
      </w:divBdr>
    </w:div>
    <w:div w:id="924149996">
      <w:bodyDiv w:val="1"/>
      <w:marLeft w:val="0"/>
      <w:marRight w:val="0"/>
      <w:marTop w:val="0"/>
      <w:marBottom w:val="0"/>
      <w:divBdr>
        <w:top w:val="none" w:sz="0" w:space="0" w:color="auto"/>
        <w:left w:val="none" w:sz="0" w:space="0" w:color="auto"/>
        <w:bottom w:val="none" w:sz="0" w:space="0" w:color="auto"/>
        <w:right w:val="none" w:sz="0" w:space="0" w:color="auto"/>
      </w:divBdr>
    </w:div>
    <w:div w:id="1029379352">
      <w:bodyDiv w:val="1"/>
      <w:marLeft w:val="0"/>
      <w:marRight w:val="0"/>
      <w:marTop w:val="0"/>
      <w:marBottom w:val="0"/>
      <w:divBdr>
        <w:top w:val="none" w:sz="0" w:space="0" w:color="auto"/>
        <w:left w:val="none" w:sz="0" w:space="0" w:color="auto"/>
        <w:bottom w:val="none" w:sz="0" w:space="0" w:color="auto"/>
        <w:right w:val="none" w:sz="0" w:space="0" w:color="auto"/>
      </w:divBdr>
    </w:div>
    <w:div w:id="1055130451">
      <w:bodyDiv w:val="1"/>
      <w:marLeft w:val="0"/>
      <w:marRight w:val="0"/>
      <w:marTop w:val="0"/>
      <w:marBottom w:val="0"/>
      <w:divBdr>
        <w:top w:val="none" w:sz="0" w:space="0" w:color="auto"/>
        <w:left w:val="none" w:sz="0" w:space="0" w:color="auto"/>
        <w:bottom w:val="none" w:sz="0" w:space="0" w:color="auto"/>
        <w:right w:val="none" w:sz="0" w:space="0" w:color="auto"/>
      </w:divBdr>
    </w:div>
    <w:div w:id="1158959004">
      <w:bodyDiv w:val="1"/>
      <w:marLeft w:val="0"/>
      <w:marRight w:val="0"/>
      <w:marTop w:val="0"/>
      <w:marBottom w:val="0"/>
      <w:divBdr>
        <w:top w:val="none" w:sz="0" w:space="0" w:color="auto"/>
        <w:left w:val="none" w:sz="0" w:space="0" w:color="auto"/>
        <w:bottom w:val="none" w:sz="0" w:space="0" w:color="auto"/>
        <w:right w:val="none" w:sz="0" w:space="0" w:color="auto"/>
      </w:divBdr>
    </w:div>
    <w:div w:id="1403988956">
      <w:bodyDiv w:val="1"/>
      <w:marLeft w:val="0"/>
      <w:marRight w:val="0"/>
      <w:marTop w:val="0"/>
      <w:marBottom w:val="0"/>
      <w:divBdr>
        <w:top w:val="none" w:sz="0" w:space="0" w:color="auto"/>
        <w:left w:val="none" w:sz="0" w:space="0" w:color="auto"/>
        <w:bottom w:val="none" w:sz="0" w:space="0" w:color="auto"/>
        <w:right w:val="none" w:sz="0" w:space="0" w:color="auto"/>
      </w:divBdr>
    </w:div>
    <w:div w:id="1480535133">
      <w:bodyDiv w:val="1"/>
      <w:marLeft w:val="0"/>
      <w:marRight w:val="0"/>
      <w:marTop w:val="0"/>
      <w:marBottom w:val="0"/>
      <w:divBdr>
        <w:top w:val="none" w:sz="0" w:space="0" w:color="auto"/>
        <w:left w:val="none" w:sz="0" w:space="0" w:color="auto"/>
        <w:bottom w:val="none" w:sz="0" w:space="0" w:color="auto"/>
        <w:right w:val="none" w:sz="0" w:space="0" w:color="auto"/>
      </w:divBdr>
    </w:div>
    <w:div w:id="1603995390">
      <w:bodyDiv w:val="1"/>
      <w:marLeft w:val="0"/>
      <w:marRight w:val="0"/>
      <w:marTop w:val="0"/>
      <w:marBottom w:val="0"/>
      <w:divBdr>
        <w:top w:val="none" w:sz="0" w:space="0" w:color="auto"/>
        <w:left w:val="none" w:sz="0" w:space="0" w:color="auto"/>
        <w:bottom w:val="none" w:sz="0" w:space="0" w:color="auto"/>
        <w:right w:val="none" w:sz="0" w:space="0" w:color="auto"/>
      </w:divBdr>
    </w:div>
    <w:div w:id="1647663347">
      <w:bodyDiv w:val="1"/>
      <w:marLeft w:val="0"/>
      <w:marRight w:val="0"/>
      <w:marTop w:val="0"/>
      <w:marBottom w:val="0"/>
      <w:divBdr>
        <w:top w:val="none" w:sz="0" w:space="0" w:color="auto"/>
        <w:left w:val="none" w:sz="0" w:space="0" w:color="auto"/>
        <w:bottom w:val="none" w:sz="0" w:space="0" w:color="auto"/>
        <w:right w:val="none" w:sz="0" w:space="0" w:color="auto"/>
      </w:divBdr>
    </w:div>
    <w:div w:id="1784573621">
      <w:bodyDiv w:val="1"/>
      <w:marLeft w:val="0"/>
      <w:marRight w:val="0"/>
      <w:marTop w:val="0"/>
      <w:marBottom w:val="0"/>
      <w:divBdr>
        <w:top w:val="none" w:sz="0" w:space="0" w:color="auto"/>
        <w:left w:val="none" w:sz="0" w:space="0" w:color="auto"/>
        <w:bottom w:val="none" w:sz="0" w:space="0" w:color="auto"/>
        <w:right w:val="none" w:sz="0" w:space="0" w:color="auto"/>
      </w:divBdr>
    </w:div>
    <w:div w:id="1835795846">
      <w:bodyDiv w:val="1"/>
      <w:marLeft w:val="0"/>
      <w:marRight w:val="0"/>
      <w:marTop w:val="0"/>
      <w:marBottom w:val="0"/>
      <w:divBdr>
        <w:top w:val="none" w:sz="0" w:space="0" w:color="auto"/>
        <w:left w:val="none" w:sz="0" w:space="0" w:color="auto"/>
        <w:bottom w:val="none" w:sz="0" w:space="0" w:color="auto"/>
        <w:right w:val="none" w:sz="0" w:space="0" w:color="auto"/>
      </w:divBdr>
    </w:div>
    <w:div w:id="2018341081">
      <w:bodyDiv w:val="1"/>
      <w:marLeft w:val="0"/>
      <w:marRight w:val="0"/>
      <w:marTop w:val="0"/>
      <w:marBottom w:val="0"/>
      <w:divBdr>
        <w:top w:val="none" w:sz="0" w:space="0" w:color="auto"/>
        <w:left w:val="none" w:sz="0" w:space="0" w:color="auto"/>
        <w:bottom w:val="none" w:sz="0" w:space="0" w:color="auto"/>
        <w:right w:val="none" w:sz="0" w:space="0" w:color="auto"/>
      </w:divBdr>
    </w:div>
    <w:div w:id="2074087113">
      <w:bodyDiv w:val="1"/>
      <w:marLeft w:val="0"/>
      <w:marRight w:val="0"/>
      <w:marTop w:val="0"/>
      <w:marBottom w:val="0"/>
      <w:divBdr>
        <w:top w:val="none" w:sz="0" w:space="0" w:color="auto"/>
        <w:left w:val="none" w:sz="0" w:space="0" w:color="auto"/>
        <w:bottom w:val="none" w:sz="0" w:space="0" w:color="auto"/>
        <w:right w:val="none" w:sz="0" w:space="0" w:color="auto"/>
      </w:divBdr>
    </w:div>
    <w:div w:id="213806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org.cn/iwephe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yc12\Desktop\&#22686;&#21152;&#20540;&#26377;&#25928;&#27719;&#29575;&#25968;&#25454;&#24211;\&#22686;&#21152;&#20540;&#26377;&#25928;&#27719;&#29575;&#25968;&#25454;&#24211;\2020&#26376;&#25253;\&#21152;&#24635;&#22686;&#21152;&#20540;&#26377;&#25928;&#27719;&#29575;&#65288;&#22270;1&#12289;2&#12289;4&#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yc12\Desktop\&#22686;&#21152;&#20540;&#26377;&#25928;&#27719;&#29575;&#25968;&#25454;&#24211;\&#22686;&#21152;&#20540;&#26377;&#25928;&#27719;&#29575;&#25968;&#25454;&#24211;\2020&#26376;&#25253;\&#21152;&#24635;&#22686;&#21152;&#20540;&#26377;&#25928;&#27719;&#29575;&#65288;&#22270;1&#12289;2&#12289;4&#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7462662885023E-2"/>
          <c:y val="3.663001802194106E-2"/>
          <c:w val="0.91021207527934556"/>
          <c:h val="0.78841308298001156"/>
        </c:manualLayout>
      </c:layout>
      <c:lineChart>
        <c:grouping val="standard"/>
        <c:varyColors val="0"/>
        <c:ser>
          <c:idx val="0"/>
          <c:order val="0"/>
          <c:tx>
            <c:strRef>
              <c:f>月报图1和第一段!$B$1</c:f>
              <c:strCache>
                <c:ptCount val="1"/>
                <c:pt idx="0">
                  <c:v>基于增加值人民币有效汇率</c:v>
                </c:pt>
              </c:strCache>
            </c:strRef>
          </c:tx>
          <c:spPr>
            <a:ln w="38100" cap="rnd" cmpd="sng" algn="ctr">
              <a:solidFill>
                <a:srgbClr val="FF0000"/>
              </a:solidFill>
              <a:prstDash val="solid"/>
              <a:round/>
            </a:ln>
          </c:spPr>
          <c:marker>
            <c:symbol val="none"/>
          </c:marker>
          <c:cat>
            <c:strRef>
              <c:f>月报图1和第一段!$A$2:$A$109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 2020/5</c:v>
                </c:pt>
                <c:pt idx="65">
                  <c:v> 2020/6</c:v>
                </c:pt>
                <c:pt idx="66">
                  <c:v> 2020/7</c:v>
                </c:pt>
                <c:pt idx="67">
                  <c:v> 2020/8</c:v>
                </c:pt>
                <c:pt idx="68">
                  <c:v> 2020/9</c:v>
                </c:pt>
                <c:pt idx="69">
                  <c:v> 2020/10</c:v>
                </c:pt>
                <c:pt idx="70">
                  <c:v> 2020/11</c:v>
                </c:pt>
                <c:pt idx="71">
                  <c:v> 2020/12</c:v>
                </c:pt>
                <c:pt idx="72">
                  <c:v> 2021/1</c:v>
                </c:pt>
                <c:pt idx="73">
                  <c:v> 2021/2</c:v>
                </c:pt>
                <c:pt idx="74">
                  <c:v> 2021/3</c:v>
                </c:pt>
                <c:pt idx="75">
                  <c:v> 2021/4</c:v>
                </c:pt>
                <c:pt idx="76">
                  <c:v> 2021/5</c:v>
                </c:pt>
                <c:pt idx="77">
                  <c:v> 2021/6</c:v>
                </c:pt>
                <c:pt idx="78">
                  <c:v> 2021/7</c:v>
                </c:pt>
                <c:pt idx="79">
                  <c:v> 2021/8</c:v>
                </c:pt>
                <c:pt idx="80">
                  <c:v> 2021/9</c:v>
                </c:pt>
                <c:pt idx="81">
                  <c:v> 2021/10</c:v>
                </c:pt>
                <c:pt idx="82">
                  <c:v> 2021/11</c:v>
                </c:pt>
                <c:pt idx="83">
                  <c:v> 2021/12</c:v>
                </c:pt>
                <c:pt idx="84">
                  <c:v> 2022/1</c:v>
                </c:pt>
                <c:pt idx="85">
                  <c:v> 2022/2</c:v>
                </c:pt>
                <c:pt idx="86">
                  <c:v> 2022/3</c:v>
                </c:pt>
                <c:pt idx="87">
                  <c:v> 2022/4</c:v>
                </c:pt>
                <c:pt idx="88">
                  <c:v> 2022/5</c:v>
                </c:pt>
                <c:pt idx="89">
                  <c:v> 2022/6</c:v>
                </c:pt>
                <c:pt idx="90">
                  <c:v> 2022/7</c:v>
                </c:pt>
                <c:pt idx="91">
                  <c:v> 2022/8</c:v>
                </c:pt>
                <c:pt idx="92">
                  <c:v> 2022/9</c:v>
                </c:pt>
                <c:pt idx="93">
                  <c:v> 2022/10</c:v>
                </c:pt>
                <c:pt idx="94">
                  <c:v> 2022/11</c:v>
                </c:pt>
                <c:pt idx="95">
                  <c:v> 2022/12</c:v>
                </c:pt>
                <c:pt idx="96">
                  <c:v> 2023/1</c:v>
                </c:pt>
                <c:pt idx="97">
                  <c:v> 2023/2</c:v>
                </c:pt>
                <c:pt idx="98">
                  <c:v> 2023/3</c:v>
                </c:pt>
                <c:pt idx="99">
                  <c:v> 2023/4</c:v>
                </c:pt>
                <c:pt idx="100">
                  <c:v> 2023/5</c:v>
                </c:pt>
                <c:pt idx="101">
                  <c:v> 2023/6</c:v>
                </c:pt>
                <c:pt idx="102">
                  <c:v> 2023/7</c:v>
                </c:pt>
                <c:pt idx="103">
                  <c:v> 2023/8</c:v>
                </c:pt>
                <c:pt idx="104">
                  <c:v> 2023/9</c:v>
                </c:pt>
                <c:pt idx="105">
                  <c:v> 2023/10</c:v>
                </c:pt>
                <c:pt idx="106">
                  <c:v> 2023/11</c:v>
                </c:pt>
                <c:pt idx="107">
                  <c:v> 2023/12</c:v>
                </c:pt>
              </c:strCache>
            </c:strRef>
          </c:cat>
          <c:val>
            <c:numRef>
              <c:f>月报图1和第一段!$B$2:$B$109</c:f>
              <c:numCache>
                <c:formatCode>General</c:formatCode>
                <c:ptCount val="108"/>
                <c:pt idx="0">
                  <c:v>126.0545</c:v>
                </c:pt>
                <c:pt idx="1">
                  <c:v>127.098</c:v>
                </c:pt>
                <c:pt idx="2">
                  <c:v>129.6953</c:v>
                </c:pt>
                <c:pt idx="3">
                  <c:v>129.27600000000001</c:v>
                </c:pt>
                <c:pt idx="4">
                  <c:v>127.9228</c:v>
                </c:pt>
                <c:pt idx="5">
                  <c:v>128.9718</c:v>
                </c:pt>
                <c:pt idx="6">
                  <c:v>130.6284</c:v>
                </c:pt>
                <c:pt idx="7">
                  <c:v>129.2105</c:v>
                </c:pt>
                <c:pt idx="8">
                  <c:v>129.05959999999999</c:v>
                </c:pt>
                <c:pt idx="9">
                  <c:v>128.39580000000001</c:v>
                </c:pt>
                <c:pt idx="10">
                  <c:v>130.4126</c:v>
                </c:pt>
                <c:pt idx="11">
                  <c:v>128.83539999999999</c:v>
                </c:pt>
                <c:pt idx="12">
                  <c:v>127.65389999999999</c:v>
                </c:pt>
                <c:pt idx="13">
                  <c:v>126.66889999999999</c:v>
                </c:pt>
                <c:pt idx="14">
                  <c:v>125.55119999999999</c:v>
                </c:pt>
                <c:pt idx="15">
                  <c:v>123.9689</c:v>
                </c:pt>
                <c:pt idx="16">
                  <c:v>123.56059999999999</c:v>
                </c:pt>
                <c:pt idx="17">
                  <c:v>121.9726</c:v>
                </c:pt>
                <c:pt idx="18">
                  <c:v>120.66030000000001</c:v>
                </c:pt>
                <c:pt idx="19">
                  <c:v>119.9409</c:v>
                </c:pt>
                <c:pt idx="20">
                  <c:v>119.6905</c:v>
                </c:pt>
                <c:pt idx="21">
                  <c:v>119.7998</c:v>
                </c:pt>
                <c:pt idx="22">
                  <c:v>120.07769999999999</c:v>
                </c:pt>
                <c:pt idx="23">
                  <c:v>120.7657</c:v>
                </c:pt>
                <c:pt idx="24">
                  <c:v>120.52460000000001</c:v>
                </c:pt>
                <c:pt idx="25">
                  <c:v>119.6656</c:v>
                </c:pt>
                <c:pt idx="26">
                  <c:v>119.0729</c:v>
                </c:pt>
                <c:pt idx="27">
                  <c:v>118.39409999999999</c:v>
                </c:pt>
                <c:pt idx="28">
                  <c:v>117.7961</c:v>
                </c:pt>
                <c:pt idx="29">
                  <c:v>118.37269999999999</c:v>
                </c:pt>
                <c:pt idx="30">
                  <c:v>118.0172</c:v>
                </c:pt>
                <c:pt idx="31">
                  <c:v>118.4753</c:v>
                </c:pt>
                <c:pt idx="32">
                  <c:v>119.65819999999999</c:v>
                </c:pt>
                <c:pt idx="33">
                  <c:v>119.98560000000001</c:v>
                </c:pt>
                <c:pt idx="34">
                  <c:v>120.34480000000001</c:v>
                </c:pt>
                <c:pt idx="35">
                  <c:v>120.3871</c:v>
                </c:pt>
                <c:pt idx="36">
                  <c:v>121.255</c:v>
                </c:pt>
                <c:pt idx="37">
                  <c:v>122.6935</c:v>
                </c:pt>
                <c:pt idx="38">
                  <c:v>122.7587</c:v>
                </c:pt>
                <c:pt idx="39">
                  <c:v>124.03619999999999</c:v>
                </c:pt>
                <c:pt idx="40">
                  <c:v>125.395</c:v>
                </c:pt>
                <c:pt idx="41">
                  <c:v>124.63290000000001</c:v>
                </c:pt>
                <c:pt idx="42">
                  <c:v>120.57940000000001</c:v>
                </c:pt>
                <c:pt idx="43">
                  <c:v>119.3984</c:v>
                </c:pt>
                <c:pt idx="44">
                  <c:v>119.6593</c:v>
                </c:pt>
                <c:pt idx="45">
                  <c:v>118.94329999999999</c:v>
                </c:pt>
                <c:pt idx="46">
                  <c:v>118.864</c:v>
                </c:pt>
                <c:pt idx="47">
                  <c:v>119.79649999999999</c:v>
                </c:pt>
                <c:pt idx="48">
                  <c:v>120.5624</c:v>
                </c:pt>
                <c:pt idx="49">
                  <c:v>121.711</c:v>
                </c:pt>
                <c:pt idx="50">
                  <c:v>122.5457</c:v>
                </c:pt>
                <c:pt idx="51">
                  <c:v>122.8522</c:v>
                </c:pt>
                <c:pt idx="52">
                  <c:v>121.0693</c:v>
                </c:pt>
                <c:pt idx="53">
                  <c:v>119.3899</c:v>
                </c:pt>
                <c:pt idx="54">
                  <c:v>119.7398</c:v>
                </c:pt>
                <c:pt idx="55">
                  <c:v>117.64</c:v>
                </c:pt>
                <c:pt idx="56">
                  <c:v>117.1267</c:v>
                </c:pt>
                <c:pt idx="57">
                  <c:v>117.0823</c:v>
                </c:pt>
                <c:pt idx="58">
                  <c:v>118.2765</c:v>
                </c:pt>
                <c:pt idx="59">
                  <c:v>117.9584</c:v>
                </c:pt>
                <c:pt idx="60">
                  <c:v>119.5026</c:v>
                </c:pt>
                <c:pt idx="61">
                  <c:v>119.5826</c:v>
                </c:pt>
                <c:pt idx="62">
                  <c:v>121.20310000000001</c:v>
                </c:pt>
                <c:pt idx="63">
                  <c:v>121.68680000000001</c:v>
                </c:pt>
                <c:pt idx="64">
                  <c:v>120.69580000000001</c:v>
                </c:pt>
                <c:pt idx="65">
                  <c:v>118.64409999999999</c:v>
                </c:pt>
                <c:pt idx="66">
                  <c:v>119.1258</c:v>
                </c:pt>
                <c:pt idx="67">
                  <c:v>119.26220000000001</c:v>
                </c:pt>
                <c:pt idx="68">
                  <c:v>121.4479</c:v>
                </c:pt>
                <c:pt idx="69">
                  <c:v>123.0936</c:v>
                </c:pt>
                <c:pt idx="70">
                  <c:v>124.3717</c:v>
                </c:pt>
                <c:pt idx="71">
                  <c:v>123.45529999999999</c:v>
                </c:pt>
                <c:pt idx="72">
                  <c:v>124.5788</c:v>
                </c:pt>
                <c:pt idx="73">
                  <c:v>125.1288</c:v>
                </c:pt>
                <c:pt idx="74">
                  <c:v>125.7347</c:v>
                </c:pt>
                <c:pt idx="75">
                  <c:v>125.5796</c:v>
                </c:pt>
                <c:pt idx="76">
                  <c:v>126.1028</c:v>
                </c:pt>
                <c:pt idx="77">
                  <c:v>126.60209999999999</c:v>
                </c:pt>
                <c:pt idx="78">
                  <c:v>127.0772</c:v>
                </c:pt>
                <c:pt idx="79">
                  <c:v>127.32340000000001</c:v>
                </c:pt>
                <c:pt idx="80">
                  <c:v>127.7899</c:v>
                </c:pt>
                <c:pt idx="81">
                  <c:v>129.7071</c:v>
                </c:pt>
                <c:pt idx="82">
                  <c:v>131.5625</c:v>
                </c:pt>
                <c:pt idx="83">
                  <c:v>133.20419999999999</c:v>
                </c:pt>
                <c:pt idx="84">
                  <c:v>133.41720000000001</c:v>
                </c:pt>
                <c:pt idx="85">
                  <c:v>133.6925</c:v>
                </c:pt>
                <c:pt idx="86">
                  <c:v>137.02809999999999</c:v>
                </c:pt>
                <c:pt idx="87">
                  <c:v>135.59110000000001</c:v>
                </c:pt>
                <c:pt idx="88">
                  <c:v>131.54499999999999</c:v>
                </c:pt>
                <c:pt idx="89">
                  <c:v>132.04349999999999</c:v>
                </c:pt>
                <c:pt idx="90">
                  <c:v>134.0599</c:v>
                </c:pt>
                <c:pt idx="91">
                  <c:v>132.72280000000001</c:v>
                </c:pt>
                <c:pt idx="92">
                  <c:v>131.73339999999999</c:v>
                </c:pt>
                <c:pt idx="93">
                  <c:v>130.1662</c:v>
                </c:pt>
                <c:pt idx="94">
                  <c:v>127.7016</c:v>
                </c:pt>
                <c:pt idx="95">
                  <c:v>128.91460000000001</c:v>
                </c:pt>
                <c:pt idx="96">
                  <c:v>130.69669999999999</c:v>
                </c:pt>
                <c:pt idx="97">
                  <c:v>130.887</c:v>
                </c:pt>
                <c:pt idx="98">
                  <c:v>130.59700000000001</c:v>
                </c:pt>
                <c:pt idx="99">
                  <c:v>129.77709999999999</c:v>
                </c:pt>
                <c:pt idx="100">
                  <c:v>128.6326</c:v>
                </c:pt>
                <c:pt idx="101">
                  <c:v>126.13079999999999</c:v>
                </c:pt>
                <c:pt idx="102">
                  <c:v>125.306</c:v>
                </c:pt>
                <c:pt idx="103">
                  <c:v>126.25579999999999</c:v>
                </c:pt>
                <c:pt idx="104">
                  <c:v>126.9897</c:v>
                </c:pt>
                <c:pt idx="105">
                  <c:v>127.96720000000001</c:v>
                </c:pt>
                <c:pt idx="106">
                  <c:v>127.6009</c:v>
                </c:pt>
                <c:pt idx="107">
                  <c:v>127.6236</c:v>
                </c:pt>
              </c:numCache>
            </c:numRef>
          </c:val>
          <c:smooth val="0"/>
          <c:extLst>
            <c:ext xmlns:c16="http://schemas.microsoft.com/office/drawing/2014/chart" uri="{C3380CC4-5D6E-409C-BE32-E72D297353CC}">
              <c16:uniqueId val="{00000000-FE79-4810-A03C-92DF2A483DFC}"/>
            </c:ext>
          </c:extLst>
        </c:ser>
        <c:ser>
          <c:idx val="1"/>
          <c:order val="1"/>
          <c:tx>
            <c:strRef>
              <c:f>月报图1和第一段!$C$1</c:f>
              <c:strCache>
                <c:ptCount val="1"/>
                <c:pt idx="0">
                  <c:v>BIS人民币名义有效汇率</c:v>
                </c:pt>
              </c:strCache>
            </c:strRef>
          </c:tx>
          <c:spPr>
            <a:ln w="28575" cap="rnd" cmpd="sng" algn="ctr">
              <a:solidFill>
                <a:schemeClr val="accent2"/>
              </a:solidFill>
              <a:prstDash val="solid"/>
              <a:round/>
            </a:ln>
            <a:effectLst/>
          </c:spPr>
          <c:marker>
            <c:symbol val="none"/>
          </c:marker>
          <c:cat>
            <c:strRef>
              <c:f>月报图1和第一段!$A$2:$A$109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 2020/5</c:v>
                </c:pt>
                <c:pt idx="65">
                  <c:v> 2020/6</c:v>
                </c:pt>
                <c:pt idx="66">
                  <c:v> 2020/7</c:v>
                </c:pt>
                <c:pt idx="67">
                  <c:v> 2020/8</c:v>
                </c:pt>
                <c:pt idx="68">
                  <c:v> 2020/9</c:v>
                </c:pt>
                <c:pt idx="69">
                  <c:v> 2020/10</c:v>
                </c:pt>
                <c:pt idx="70">
                  <c:v> 2020/11</c:v>
                </c:pt>
                <c:pt idx="71">
                  <c:v> 2020/12</c:v>
                </c:pt>
                <c:pt idx="72">
                  <c:v> 2021/1</c:v>
                </c:pt>
                <c:pt idx="73">
                  <c:v> 2021/2</c:v>
                </c:pt>
                <c:pt idx="74">
                  <c:v> 2021/3</c:v>
                </c:pt>
                <c:pt idx="75">
                  <c:v> 2021/4</c:v>
                </c:pt>
                <c:pt idx="76">
                  <c:v> 2021/5</c:v>
                </c:pt>
                <c:pt idx="77">
                  <c:v> 2021/6</c:v>
                </c:pt>
                <c:pt idx="78">
                  <c:v> 2021/7</c:v>
                </c:pt>
                <c:pt idx="79">
                  <c:v> 2021/8</c:v>
                </c:pt>
                <c:pt idx="80">
                  <c:v> 2021/9</c:v>
                </c:pt>
                <c:pt idx="81">
                  <c:v> 2021/10</c:v>
                </c:pt>
                <c:pt idx="82">
                  <c:v> 2021/11</c:v>
                </c:pt>
                <c:pt idx="83">
                  <c:v> 2021/12</c:v>
                </c:pt>
                <c:pt idx="84">
                  <c:v> 2022/1</c:v>
                </c:pt>
                <c:pt idx="85">
                  <c:v> 2022/2</c:v>
                </c:pt>
                <c:pt idx="86">
                  <c:v> 2022/3</c:v>
                </c:pt>
                <c:pt idx="87">
                  <c:v> 2022/4</c:v>
                </c:pt>
                <c:pt idx="88">
                  <c:v> 2022/5</c:v>
                </c:pt>
                <c:pt idx="89">
                  <c:v> 2022/6</c:v>
                </c:pt>
                <c:pt idx="90">
                  <c:v> 2022/7</c:v>
                </c:pt>
                <c:pt idx="91">
                  <c:v> 2022/8</c:v>
                </c:pt>
                <c:pt idx="92">
                  <c:v> 2022/9</c:v>
                </c:pt>
                <c:pt idx="93">
                  <c:v> 2022/10</c:v>
                </c:pt>
                <c:pt idx="94">
                  <c:v> 2022/11</c:v>
                </c:pt>
                <c:pt idx="95">
                  <c:v> 2022/12</c:v>
                </c:pt>
                <c:pt idx="96">
                  <c:v> 2023/1</c:v>
                </c:pt>
                <c:pt idx="97">
                  <c:v> 2023/2</c:v>
                </c:pt>
                <c:pt idx="98">
                  <c:v> 2023/3</c:v>
                </c:pt>
                <c:pt idx="99">
                  <c:v> 2023/4</c:v>
                </c:pt>
                <c:pt idx="100">
                  <c:v> 2023/5</c:v>
                </c:pt>
                <c:pt idx="101">
                  <c:v> 2023/6</c:v>
                </c:pt>
                <c:pt idx="102">
                  <c:v> 2023/7</c:v>
                </c:pt>
                <c:pt idx="103">
                  <c:v> 2023/8</c:v>
                </c:pt>
                <c:pt idx="104">
                  <c:v> 2023/9</c:v>
                </c:pt>
                <c:pt idx="105">
                  <c:v> 2023/10</c:v>
                </c:pt>
                <c:pt idx="106">
                  <c:v> 2023/11</c:v>
                </c:pt>
                <c:pt idx="107">
                  <c:v> 2023/12</c:v>
                </c:pt>
              </c:strCache>
            </c:strRef>
          </c:cat>
          <c:val>
            <c:numRef>
              <c:f>月报图1和第一段!$C$2:$C$109</c:f>
              <c:numCache>
                <c:formatCode>#,##0.000</c:formatCode>
                <c:ptCount val="108"/>
                <c:pt idx="0">
                  <c:v>122.25</c:v>
                </c:pt>
                <c:pt idx="1">
                  <c:v>122.73</c:v>
                </c:pt>
                <c:pt idx="2">
                  <c:v>125.12</c:v>
                </c:pt>
                <c:pt idx="3">
                  <c:v>125.09</c:v>
                </c:pt>
                <c:pt idx="4">
                  <c:v>124.02</c:v>
                </c:pt>
                <c:pt idx="5">
                  <c:v>125.02</c:v>
                </c:pt>
                <c:pt idx="6">
                  <c:v>126.54</c:v>
                </c:pt>
                <c:pt idx="7">
                  <c:v>125.42</c:v>
                </c:pt>
                <c:pt idx="8">
                  <c:v>125.35</c:v>
                </c:pt>
                <c:pt idx="9">
                  <c:v>124.69</c:v>
                </c:pt>
                <c:pt idx="10">
                  <c:v>126.38</c:v>
                </c:pt>
                <c:pt idx="11">
                  <c:v>125.05</c:v>
                </c:pt>
                <c:pt idx="12">
                  <c:v>124</c:v>
                </c:pt>
                <c:pt idx="13">
                  <c:v>123.18</c:v>
                </c:pt>
                <c:pt idx="14">
                  <c:v>122.24</c:v>
                </c:pt>
                <c:pt idx="15">
                  <c:v>120.66</c:v>
                </c:pt>
                <c:pt idx="16">
                  <c:v>120.49</c:v>
                </c:pt>
                <c:pt idx="17">
                  <c:v>118.99</c:v>
                </c:pt>
                <c:pt idx="18">
                  <c:v>117.47</c:v>
                </c:pt>
                <c:pt idx="19">
                  <c:v>116.67</c:v>
                </c:pt>
                <c:pt idx="20">
                  <c:v>116.56</c:v>
                </c:pt>
                <c:pt idx="21">
                  <c:v>116.78</c:v>
                </c:pt>
                <c:pt idx="22">
                  <c:v>117.09</c:v>
                </c:pt>
                <c:pt idx="23">
                  <c:v>117.88</c:v>
                </c:pt>
                <c:pt idx="24">
                  <c:v>117.87</c:v>
                </c:pt>
                <c:pt idx="25">
                  <c:v>116.77</c:v>
                </c:pt>
                <c:pt idx="26">
                  <c:v>116.04</c:v>
                </c:pt>
                <c:pt idx="27">
                  <c:v>115.36</c:v>
                </c:pt>
                <c:pt idx="28">
                  <c:v>114.73</c:v>
                </c:pt>
                <c:pt idx="29">
                  <c:v>115.29</c:v>
                </c:pt>
                <c:pt idx="30">
                  <c:v>115.26</c:v>
                </c:pt>
                <c:pt idx="31">
                  <c:v>115.82</c:v>
                </c:pt>
                <c:pt idx="32">
                  <c:v>117.14</c:v>
                </c:pt>
                <c:pt idx="33">
                  <c:v>117.34</c:v>
                </c:pt>
                <c:pt idx="34">
                  <c:v>117.29</c:v>
                </c:pt>
                <c:pt idx="35">
                  <c:v>117.23</c:v>
                </c:pt>
                <c:pt idx="36">
                  <c:v>118.05</c:v>
                </c:pt>
                <c:pt idx="37">
                  <c:v>119.37</c:v>
                </c:pt>
                <c:pt idx="38">
                  <c:v>119.34</c:v>
                </c:pt>
                <c:pt idx="39">
                  <c:v>120.29</c:v>
                </c:pt>
                <c:pt idx="40">
                  <c:v>121.57</c:v>
                </c:pt>
                <c:pt idx="41">
                  <c:v>120.95</c:v>
                </c:pt>
                <c:pt idx="42">
                  <c:v>117.17</c:v>
                </c:pt>
                <c:pt idx="43">
                  <c:v>115.76</c:v>
                </c:pt>
                <c:pt idx="44">
                  <c:v>115.98</c:v>
                </c:pt>
                <c:pt idx="45">
                  <c:v>115.47</c:v>
                </c:pt>
                <c:pt idx="46">
                  <c:v>115.4</c:v>
                </c:pt>
                <c:pt idx="47">
                  <c:v>116.15</c:v>
                </c:pt>
                <c:pt idx="48">
                  <c:v>116.77</c:v>
                </c:pt>
                <c:pt idx="49">
                  <c:v>117.87</c:v>
                </c:pt>
                <c:pt idx="50">
                  <c:v>118.76</c:v>
                </c:pt>
                <c:pt idx="51">
                  <c:v>119.09</c:v>
                </c:pt>
                <c:pt idx="52">
                  <c:v>117.51</c:v>
                </c:pt>
                <c:pt idx="53">
                  <c:v>115.89</c:v>
                </c:pt>
                <c:pt idx="54">
                  <c:v>116.17</c:v>
                </c:pt>
                <c:pt idx="55">
                  <c:v>114.32</c:v>
                </c:pt>
                <c:pt idx="56">
                  <c:v>113.63</c:v>
                </c:pt>
                <c:pt idx="57">
                  <c:v>113.58</c:v>
                </c:pt>
                <c:pt idx="58">
                  <c:v>114.68</c:v>
                </c:pt>
                <c:pt idx="59">
                  <c:v>114.41</c:v>
                </c:pt>
                <c:pt idx="60">
                  <c:v>115.68</c:v>
                </c:pt>
                <c:pt idx="61">
                  <c:v>115.9</c:v>
                </c:pt>
                <c:pt idx="62">
                  <c:v>117.22</c:v>
                </c:pt>
                <c:pt idx="63">
                  <c:v>117.7</c:v>
                </c:pt>
                <c:pt idx="64" formatCode="0.000">
                  <c:v>116.62</c:v>
                </c:pt>
                <c:pt idx="65" formatCode="0.000">
                  <c:v>114.98</c:v>
                </c:pt>
                <c:pt idx="66" formatCode="0.000">
                  <c:v>115.46</c:v>
                </c:pt>
                <c:pt idx="67" formatCode="0.000">
                  <c:v>115.55</c:v>
                </c:pt>
                <c:pt idx="68" formatCode="0.000">
                  <c:v>117.47</c:v>
                </c:pt>
                <c:pt idx="69" formatCode="0.000">
                  <c:v>118.64</c:v>
                </c:pt>
                <c:pt idx="70" formatCode="0.000">
                  <c:v>119.73</c:v>
                </c:pt>
                <c:pt idx="71" formatCode="0.000">
                  <c:v>119.05</c:v>
                </c:pt>
                <c:pt idx="72" formatCode="0.000">
                  <c:v>120.19</c:v>
                </c:pt>
                <c:pt idx="73" formatCode="0.000">
                  <c:v>120.83</c:v>
                </c:pt>
                <c:pt idx="74" formatCode="0.000">
                  <c:v>121.6</c:v>
                </c:pt>
                <c:pt idx="75" formatCode="0.000">
                  <c:v>121.22</c:v>
                </c:pt>
                <c:pt idx="76" formatCode="0.000">
                  <c:v>122.01</c:v>
                </c:pt>
                <c:pt idx="77" formatCode="0.000">
                  <c:v>122.5</c:v>
                </c:pt>
                <c:pt idx="78" formatCode="0.000">
                  <c:v>123.04</c:v>
                </c:pt>
                <c:pt idx="79" formatCode="0.000">
                  <c:v>123.3</c:v>
                </c:pt>
                <c:pt idx="80" formatCode="0.000">
                  <c:v>123.7</c:v>
                </c:pt>
                <c:pt idx="81" formatCode="0.000">
                  <c:v>125.59</c:v>
                </c:pt>
                <c:pt idx="82" formatCode="0.000">
                  <c:v>127.23</c:v>
                </c:pt>
                <c:pt idx="83" formatCode="0.000">
                  <c:v>128.56</c:v>
                </c:pt>
                <c:pt idx="84" formatCode="0.000">
                  <c:v>128.66999999999999</c:v>
                </c:pt>
                <c:pt idx="85" formatCode="0.000">
                  <c:v>128.88999999999999</c:v>
                </c:pt>
                <c:pt idx="86" formatCode="0.000">
                  <c:v>131.38999999999999</c:v>
                </c:pt>
                <c:pt idx="87" formatCode="0.000">
                  <c:v>130.99</c:v>
                </c:pt>
                <c:pt idx="88" formatCode="0.000">
                  <c:v>127.64</c:v>
                </c:pt>
                <c:pt idx="89" formatCode="0.000">
                  <c:v>128.56</c:v>
                </c:pt>
                <c:pt idx="90" formatCode="0.000">
                  <c:v>130.54</c:v>
                </c:pt>
                <c:pt idx="91" formatCode="0.000">
                  <c:v>129.06</c:v>
                </c:pt>
                <c:pt idx="92" formatCode="0.000">
                  <c:v>128.33000000000001</c:v>
                </c:pt>
                <c:pt idx="93" formatCode="0.000">
                  <c:v>127.11</c:v>
                </c:pt>
                <c:pt idx="94" formatCode="0.000">
                  <c:v>124.41</c:v>
                </c:pt>
                <c:pt idx="95" formatCode="General">
                  <c:v>124.8902570379437</c:v>
                </c:pt>
                <c:pt idx="96" formatCode="General">
                  <c:v>126.26074663402693</c:v>
                </c:pt>
                <c:pt idx="97" formatCode="General">
                  <c:v>126.38959608323134</c:v>
                </c:pt>
                <c:pt idx="98" formatCode="General">
                  <c:v>126.0967564259486</c:v>
                </c:pt>
                <c:pt idx="99" formatCode="General">
                  <c:v>125.39394124847</c:v>
                </c:pt>
                <c:pt idx="100" formatCode="General">
                  <c:v>124.29286413708688</c:v>
                </c:pt>
                <c:pt idx="101" formatCode="General">
                  <c:v>121.7744430844553</c:v>
                </c:pt>
                <c:pt idx="102" formatCode="General">
                  <c:v>120.73193390452874</c:v>
                </c:pt>
                <c:pt idx="103" formatCode="General">
                  <c:v>121.59873929008566</c:v>
                </c:pt>
                <c:pt idx="104" formatCode="General">
                  <c:v>122.37183598531209</c:v>
                </c:pt>
                <c:pt idx="105" formatCode="General">
                  <c:v>123.4611995104039</c:v>
                </c:pt>
                <c:pt idx="106" formatCode="General">
                  <c:v>122.99265605875152</c:v>
                </c:pt>
                <c:pt idx="107" formatCode="General">
                  <c:v>123.21521419828639</c:v>
                </c:pt>
              </c:numCache>
            </c:numRef>
          </c:val>
          <c:smooth val="0"/>
          <c:extLst>
            <c:ext xmlns:c16="http://schemas.microsoft.com/office/drawing/2014/chart" uri="{C3380CC4-5D6E-409C-BE32-E72D297353CC}">
              <c16:uniqueId val="{00000001-FE79-4810-A03C-92DF2A483DFC}"/>
            </c:ext>
          </c:extLst>
        </c:ser>
        <c:ser>
          <c:idx val="2"/>
          <c:order val="2"/>
          <c:tx>
            <c:strRef>
              <c:f>月报图1和第一段!$D$1</c:f>
              <c:strCache>
                <c:ptCount val="1"/>
                <c:pt idx="0">
                  <c:v>BIS人民币实际有效汇率</c:v>
                </c:pt>
              </c:strCache>
            </c:strRef>
          </c:tx>
          <c:spPr>
            <a:ln w="28575" cap="rnd" cmpd="sng" algn="ctr">
              <a:solidFill>
                <a:schemeClr val="accent3"/>
              </a:solidFill>
              <a:prstDash val="solid"/>
              <a:round/>
            </a:ln>
            <a:effectLst/>
          </c:spPr>
          <c:marker>
            <c:symbol val="none"/>
          </c:marker>
          <c:cat>
            <c:strRef>
              <c:f>月报图1和第一段!$A$2:$A$109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 2020/5</c:v>
                </c:pt>
                <c:pt idx="65">
                  <c:v> 2020/6</c:v>
                </c:pt>
                <c:pt idx="66">
                  <c:v> 2020/7</c:v>
                </c:pt>
                <c:pt idx="67">
                  <c:v> 2020/8</c:v>
                </c:pt>
                <c:pt idx="68">
                  <c:v> 2020/9</c:v>
                </c:pt>
                <c:pt idx="69">
                  <c:v> 2020/10</c:v>
                </c:pt>
                <c:pt idx="70">
                  <c:v> 2020/11</c:v>
                </c:pt>
                <c:pt idx="71">
                  <c:v> 2020/12</c:v>
                </c:pt>
                <c:pt idx="72">
                  <c:v> 2021/1</c:v>
                </c:pt>
                <c:pt idx="73">
                  <c:v> 2021/2</c:v>
                </c:pt>
                <c:pt idx="74">
                  <c:v> 2021/3</c:v>
                </c:pt>
                <c:pt idx="75">
                  <c:v> 2021/4</c:v>
                </c:pt>
                <c:pt idx="76">
                  <c:v> 2021/5</c:v>
                </c:pt>
                <c:pt idx="77">
                  <c:v> 2021/6</c:v>
                </c:pt>
                <c:pt idx="78">
                  <c:v> 2021/7</c:v>
                </c:pt>
                <c:pt idx="79">
                  <c:v> 2021/8</c:v>
                </c:pt>
                <c:pt idx="80">
                  <c:v> 2021/9</c:v>
                </c:pt>
                <c:pt idx="81">
                  <c:v> 2021/10</c:v>
                </c:pt>
                <c:pt idx="82">
                  <c:v> 2021/11</c:v>
                </c:pt>
                <c:pt idx="83">
                  <c:v> 2021/12</c:v>
                </c:pt>
                <c:pt idx="84">
                  <c:v> 2022/1</c:v>
                </c:pt>
                <c:pt idx="85">
                  <c:v> 2022/2</c:v>
                </c:pt>
                <c:pt idx="86">
                  <c:v> 2022/3</c:v>
                </c:pt>
                <c:pt idx="87">
                  <c:v> 2022/4</c:v>
                </c:pt>
                <c:pt idx="88">
                  <c:v> 2022/5</c:v>
                </c:pt>
                <c:pt idx="89">
                  <c:v> 2022/6</c:v>
                </c:pt>
                <c:pt idx="90">
                  <c:v> 2022/7</c:v>
                </c:pt>
                <c:pt idx="91">
                  <c:v> 2022/8</c:v>
                </c:pt>
                <c:pt idx="92">
                  <c:v> 2022/9</c:v>
                </c:pt>
                <c:pt idx="93">
                  <c:v> 2022/10</c:v>
                </c:pt>
                <c:pt idx="94">
                  <c:v> 2022/11</c:v>
                </c:pt>
                <c:pt idx="95">
                  <c:v> 2022/12</c:v>
                </c:pt>
                <c:pt idx="96">
                  <c:v> 2023/1</c:v>
                </c:pt>
                <c:pt idx="97">
                  <c:v> 2023/2</c:v>
                </c:pt>
                <c:pt idx="98">
                  <c:v> 2023/3</c:v>
                </c:pt>
                <c:pt idx="99">
                  <c:v> 2023/4</c:v>
                </c:pt>
                <c:pt idx="100">
                  <c:v> 2023/5</c:v>
                </c:pt>
                <c:pt idx="101">
                  <c:v> 2023/6</c:v>
                </c:pt>
                <c:pt idx="102">
                  <c:v> 2023/7</c:v>
                </c:pt>
                <c:pt idx="103">
                  <c:v> 2023/8</c:v>
                </c:pt>
                <c:pt idx="104">
                  <c:v> 2023/9</c:v>
                </c:pt>
                <c:pt idx="105">
                  <c:v> 2023/10</c:v>
                </c:pt>
                <c:pt idx="106">
                  <c:v> 2023/11</c:v>
                </c:pt>
                <c:pt idx="107">
                  <c:v> 2023/12</c:v>
                </c:pt>
              </c:strCache>
            </c:strRef>
          </c:cat>
          <c:val>
            <c:numRef>
              <c:f>月报图1和第一段!$D$2:$D$109</c:f>
              <c:numCache>
                <c:formatCode>#,##0.000</c:formatCode>
                <c:ptCount val="108"/>
                <c:pt idx="0">
                  <c:v>127.36</c:v>
                </c:pt>
                <c:pt idx="1">
                  <c:v>129.29</c:v>
                </c:pt>
                <c:pt idx="2">
                  <c:v>130.33000000000001</c:v>
                </c:pt>
                <c:pt idx="3">
                  <c:v>129.56</c:v>
                </c:pt>
                <c:pt idx="4">
                  <c:v>127.89</c:v>
                </c:pt>
                <c:pt idx="5">
                  <c:v>128.66999999999999</c:v>
                </c:pt>
                <c:pt idx="6">
                  <c:v>130.68</c:v>
                </c:pt>
                <c:pt idx="7">
                  <c:v>130.09</c:v>
                </c:pt>
                <c:pt idx="8">
                  <c:v>130.02000000000001</c:v>
                </c:pt>
                <c:pt idx="9">
                  <c:v>128.86000000000001</c:v>
                </c:pt>
                <c:pt idx="10">
                  <c:v>130.86000000000001</c:v>
                </c:pt>
                <c:pt idx="11">
                  <c:v>130.21</c:v>
                </c:pt>
                <c:pt idx="12">
                  <c:v>129.71</c:v>
                </c:pt>
                <c:pt idx="13">
                  <c:v>130.93</c:v>
                </c:pt>
                <c:pt idx="14">
                  <c:v>128.71</c:v>
                </c:pt>
                <c:pt idx="15">
                  <c:v>126.32</c:v>
                </c:pt>
                <c:pt idx="16">
                  <c:v>125.32</c:v>
                </c:pt>
                <c:pt idx="17">
                  <c:v>123.32</c:v>
                </c:pt>
                <c:pt idx="18">
                  <c:v>122.1</c:v>
                </c:pt>
                <c:pt idx="19">
                  <c:v>121.18</c:v>
                </c:pt>
                <c:pt idx="20">
                  <c:v>121.61</c:v>
                </c:pt>
                <c:pt idx="21">
                  <c:v>121.35</c:v>
                </c:pt>
                <c:pt idx="22">
                  <c:v>122.04</c:v>
                </c:pt>
                <c:pt idx="23">
                  <c:v>123.13</c:v>
                </c:pt>
                <c:pt idx="24">
                  <c:v>123.63</c:v>
                </c:pt>
                <c:pt idx="25">
                  <c:v>122.44</c:v>
                </c:pt>
                <c:pt idx="26">
                  <c:v>120.78</c:v>
                </c:pt>
                <c:pt idx="27">
                  <c:v>119.75</c:v>
                </c:pt>
                <c:pt idx="28">
                  <c:v>118.86</c:v>
                </c:pt>
                <c:pt idx="29">
                  <c:v>119.21</c:v>
                </c:pt>
                <c:pt idx="30">
                  <c:v>119.33</c:v>
                </c:pt>
                <c:pt idx="31">
                  <c:v>120.07</c:v>
                </c:pt>
                <c:pt idx="32">
                  <c:v>121.7</c:v>
                </c:pt>
                <c:pt idx="33">
                  <c:v>122.02</c:v>
                </c:pt>
                <c:pt idx="34">
                  <c:v>121.92</c:v>
                </c:pt>
                <c:pt idx="35">
                  <c:v>122.14</c:v>
                </c:pt>
                <c:pt idx="36">
                  <c:v>123.27</c:v>
                </c:pt>
                <c:pt idx="37">
                  <c:v>126.19</c:v>
                </c:pt>
                <c:pt idx="38">
                  <c:v>124.31</c:v>
                </c:pt>
                <c:pt idx="39">
                  <c:v>124.6</c:v>
                </c:pt>
                <c:pt idx="40">
                  <c:v>125.37</c:v>
                </c:pt>
                <c:pt idx="41">
                  <c:v>124.51</c:v>
                </c:pt>
                <c:pt idx="42">
                  <c:v>120.91</c:v>
                </c:pt>
                <c:pt idx="43">
                  <c:v>119.84</c:v>
                </c:pt>
                <c:pt idx="44">
                  <c:v>120.53</c:v>
                </c:pt>
                <c:pt idx="45">
                  <c:v>120.02</c:v>
                </c:pt>
                <c:pt idx="46">
                  <c:v>119.98</c:v>
                </c:pt>
                <c:pt idx="47">
                  <c:v>121.09</c:v>
                </c:pt>
                <c:pt idx="48">
                  <c:v>122.1</c:v>
                </c:pt>
                <c:pt idx="49">
                  <c:v>124.53</c:v>
                </c:pt>
                <c:pt idx="50">
                  <c:v>124.38</c:v>
                </c:pt>
                <c:pt idx="51">
                  <c:v>124.01</c:v>
                </c:pt>
                <c:pt idx="52">
                  <c:v>122.19</c:v>
                </c:pt>
                <c:pt idx="53">
                  <c:v>120.43</c:v>
                </c:pt>
                <c:pt idx="54">
                  <c:v>121.2</c:v>
                </c:pt>
                <c:pt idx="55">
                  <c:v>119.83</c:v>
                </c:pt>
                <c:pt idx="56">
                  <c:v>120</c:v>
                </c:pt>
                <c:pt idx="57">
                  <c:v>120.89</c:v>
                </c:pt>
                <c:pt idx="58">
                  <c:v>122.63</c:v>
                </c:pt>
                <c:pt idx="59">
                  <c:v>122.25</c:v>
                </c:pt>
                <c:pt idx="60">
                  <c:v>124.79</c:v>
                </c:pt>
                <c:pt idx="61">
                  <c:v>126.44</c:v>
                </c:pt>
                <c:pt idx="62">
                  <c:v>126.2</c:v>
                </c:pt>
                <c:pt idx="63">
                  <c:v>125.53</c:v>
                </c:pt>
                <c:pt idx="64" formatCode="0.000">
                  <c:v>123.61</c:v>
                </c:pt>
                <c:pt idx="65" formatCode="0.000">
                  <c:v>121.51</c:v>
                </c:pt>
                <c:pt idx="66" formatCode="0.000">
                  <c:v>122.48</c:v>
                </c:pt>
                <c:pt idx="67" formatCode="0.000">
                  <c:v>122.79</c:v>
                </c:pt>
                <c:pt idx="68" formatCode="0.000">
                  <c:v>124.92</c:v>
                </c:pt>
                <c:pt idx="69" formatCode="0.000">
                  <c:v>125.76</c:v>
                </c:pt>
                <c:pt idx="70" formatCode="0.000">
                  <c:v>126.25</c:v>
                </c:pt>
                <c:pt idx="71" formatCode="0.000">
                  <c:v>126.35</c:v>
                </c:pt>
                <c:pt idx="72" formatCode="0.000">
                  <c:v>127.65</c:v>
                </c:pt>
                <c:pt idx="73" formatCode="0.000">
                  <c:v>129.58000000000001</c:v>
                </c:pt>
                <c:pt idx="74" formatCode="0.000">
                  <c:v>128.80000000000001</c:v>
                </c:pt>
                <c:pt idx="75" formatCode="0.000">
                  <c:v>127.2</c:v>
                </c:pt>
                <c:pt idx="76" formatCode="0.000">
                  <c:v>126.99</c:v>
                </c:pt>
                <c:pt idx="77" formatCode="0.000">
                  <c:v>126.86</c:v>
                </c:pt>
                <c:pt idx="78" formatCode="0.000">
                  <c:v>127.72</c:v>
                </c:pt>
                <c:pt idx="79" formatCode="0.000">
                  <c:v>127.75</c:v>
                </c:pt>
                <c:pt idx="80" formatCode="0.000">
                  <c:v>127.8</c:v>
                </c:pt>
                <c:pt idx="81" formatCode="0.000">
                  <c:v>129.72</c:v>
                </c:pt>
                <c:pt idx="82" formatCode="0.000">
                  <c:v>131.04</c:v>
                </c:pt>
                <c:pt idx="83" formatCode="0.000">
                  <c:v>131.94999999999999</c:v>
                </c:pt>
                <c:pt idx="84" formatCode="0.000">
                  <c:v>131.09</c:v>
                </c:pt>
                <c:pt idx="85" formatCode="0.000">
                  <c:v>132.06</c:v>
                </c:pt>
                <c:pt idx="86" formatCode="0.000">
                  <c:v>132.59</c:v>
                </c:pt>
                <c:pt idx="87" formatCode="0.000">
                  <c:v>131.22</c:v>
                </c:pt>
                <c:pt idx="88" formatCode="0.000">
                  <c:v>126.36</c:v>
                </c:pt>
                <c:pt idx="89" formatCode="0.000">
                  <c:v>126.58</c:v>
                </c:pt>
                <c:pt idx="90" formatCode="0.000">
                  <c:v>129.01</c:v>
                </c:pt>
                <c:pt idx="91" formatCode="0.000">
                  <c:v>127.07</c:v>
                </c:pt>
                <c:pt idx="92" formatCode="0.000">
                  <c:v>126.13</c:v>
                </c:pt>
                <c:pt idx="93" formatCode="0.000">
                  <c:v>123.97</c:v>
                </c:pt>
                <c:pt idx="94" formatCode="0.000">
                  <c:v>120.82</c:v>
                </c:pt>
                <c:pt idx="95" formatCode="General">
                  <c:v>121.51866997108633</c:v>
                </c:pt>
                <c:pt idx="96" formatCode="General">
                  <c:v>122.35457868649317</c:v>
                </c:pt>
                <c:pt idx="97" formatCode="General">
                  <c:v>122.29219743907474</c:v>
                </c:pt>
                <c:pt idx="98" formatCode="General">
                  <c:v>120.85742874845104</c:v>
                </c:pt>
                <c:pt idx="99" formatCode="General">
                  <c:v>118.86122883106152</c:v>
                </c:pt>
                <c:pt idx="100" formatCode="General">
                  <c:v>117.25179264766625</c:v>
                </c:pt>
                <c:pt idx="101" formatCode="General">
                  <c:v>114.6317802560925</c:v>
                </c:pt>
                <c:pt idx="102" formatCode="General">
                  <c:v>113.72101404378355</c:v>
                </c:pt>
                <c:pt idx="103" formatCode="General">
                  <c:v>114.29492152003303</c:v>
                </c:pt>
                <c:pt idx="104" formatCode="General">
                  <c:v>114.9561627426683</c:v>
                </c:pt>
                <c:pt idx="105" formatCode="General">
                  <c:v>115.29302147872777</c:v>
                </c:pt>
                <c:pt idx="106" formatCode="General">
                  <c:v>114.29492152003301</c:v>
                </c:pt>
                <c:pt idx="107" formatCode="General">
                  <c:v>114.78149524989671</c:v>
                </c:pt>
              </c:numCache>
            </c:numRef>
          </c:val>
          <c:smooth val="0"/>
          <c:extLst>
            <c:ext xmlns:c16="http://schemas.microsoft.com/office/drawing/2014/chart" uri="{C3380CC4-5D6E-409C-BE32-E72D297353CC}">
              <c16:uniqueId val="{00000002-FE79-4810-A03C-92DF2A483DFC}"/>
            </c:ext>
          </c:extLst>
        </c:ser>
        <c:ser>
          <c:idx val="3"/>
          <c:order val="3"/>
          <c:tx>
            <c:strRef>
              <c:f>月报图1和第一段!$E$1</c:f>
              <c:strCache>
                <c:ptCount val="1"/>
                <c:pt idx="0">
                  <c:v>人民币汇率指数:CFETS 货币篮子</c:v>
                </c:pt>
              </c:strCache>
            </c:strRef>
          </c:tx>
          <c:spPr>
            <a:ln w="28575" cap="rnd" cmpd="sng" algn="ctr">
              <a:solidFill>
                <a:schemeClr val="accent4"/>
              </a:solidFill>
              <a:prstDash val="solid"/>
              <a:round/>
            </a:ln>
            <a:effectLst/>
          </c:spPr>
          <c:marker>
            <c:symbol val="none"/>
          </c:marker>
          <c:cat>
            <c:strRef>
              <c:f>月报图1和第一段!$A$2:$A$109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 2020/5</c:v>
                </c:pt>
                <c:pt idx="65">
                  <c:v> 2020/6</c:v>
                </c:pt>
                <c:pt idx="66">
                  <c:v> 2020/7</c:v>
                </c:pt>
                <c:pt idx="67">
                  <c:v> 2020/8</c:v>
                </c:pt>
                <c:pt idx="68">
                  <c:v> 2020/9</c:v>
                </c:pt>
                <c:pt idx="69">
                  <c:v> 2020/10</c:v>
                </c:pt>
                <c:pt idx="70">
                  <c:v> 2020/11</c:v>
                </c:pt>
                <c:pt idx="71">
                  <c:v> 2020/12</c:v>
                </c:pt>
                <c:pt idx="72">
                  <c:v> 2021/1</c:v>
                </c:pt>
                <c:pt idx="73">
                  <c:v> 2021/2</c:v>
                </c:pt>
                <c:pt idx="74">
                  <c:v> 2021/3</c:v>
                </c:pt>
                <c:pt idx="75">
                  <c:v> 2021/4</c:v>
                </c:pt>
                <c:pt idx="76">
                  <c:v> 2021/5</c:v>
                </c:pt>
                <c:pt idx="77">
                  <c:v> 2021/6</c:v>
                </c:pt>
                <c:pt idx="78">
                  <c:v> 2021/7</c:v>
                </c:pt>
                <c:pt idx="79">
                  <c:v> 2021/8</c:v>
                </c:pt>
                <c:pt idx="80">
                  <c:v> 2021/9</c:v>
                </c:pt>
                <c:pt idx="81">
                  <c:v> 2021/10</c:v>
                </c:pt>
                <c:pt idx="82">
                  <c:v> 2021/11</c:v>
                </c:pt>
                <c:pt idx="83">
                  <c:v> 2021/12</c:v>
                </c:pt>
                <c:pt idx="84">
                  <c:v> 2022/1</c:v>
                </c:pt>
                <c:pt idx="85">
                  <c:v> 2022/2</c:v>
                </c:pt>
                <c:pt idx="86">
                  <c:v> 2022/3</c:v>
                </c:pt>
                <c:pt idx="87">
                  <c:v> 2022/4</c:v>
                </c:pt>
                <c:pt idx="88">
                  <c:v> 2022/5</c:v>
                </c:pt>
                <c:pt idx="89">
                  <c:v> 2022/6</c:v>
                </c:pt>
                <c:pt idx="90">
                  <c:v> 2022/7</c:v>
                </c:pt>
                <c:pt idx="91">
                  <c:v> 2022/8</c:v>
                </c:pt>
                <c:pt idx="92">
                  <c:v> 2022/9</c:v>
                </c:pt>
                <c:pt idx="93">
                  <c:v> 2022/10</c:v>
                </c:pt>
                <c:pt idx="94">
                  <c:v> 2022/11</c:v>
                </c:pt>
                <c:pt idx="95">
                  <c:v> 2022/12</c:v>
                </c:pt>
                <c:pt idx="96">
                  <c:v> 2023/1</c:v>
                </c:pt>
                <c:pt idx="97">
                  <c:v> 2023/2</c:v>
                </c:pt>
                <c:pt idx="98">
                  <c:v> 2023/3</c:v>
                </c:pt>
                <c:pt idx="99">
                  <c:v> 2023/4</c:v>
                </c:pt>
                <c:pt idx="100">
                  <c:v> 2023/5</c:v>
                </c:pt>
                <c:pt idx="101">
                  <c:v> 2023/6</c:v>
                </c:pt>
                <c:pt idx="102">
                  <c:v> 2023/7</c:v>
                </c:pt>
                <c:pt idx="103">
                  <c:v> 2023/8</c:v>
                </c:pt>
                <c:pt idx="104">
                  <c:v> 2023/9</c:v>
                </c:pt>
                <c:pt idx="105">
                  <c:v> 2023/10</c:v>
                </c:pt>
                <c:pt idx="106">
                  <c:v> 2023/11</c:v>
                </c:pt>
                <c:pt idx="107">
                  <c:v> 2023/12</c:v>
                </c:pt>
              </c:strCache>
            </c:strRef>
          </c:cat>
          <c:val>
            <c:numRef>
              <c:f>月报图1和第一段!$E$2:$E$109</c:f>
              <c:numCache>
                <c:formatCode>General</c:formatCode>
                <c:ptCount val="108"/>
                <c:pt idx="10" formatCode="#,##0.000">
                  <c:v>102.93</c:v>
                </c:pt>
                <c:pt idx="11" formatCode="#,##0.000">
                  <c:v>100.94</c:v>
                </c:pt>
                <c:pt idx="12" formatCode="#,##0.000">
                  <c:v>100.15</c:v>
                </c:pt>
                <c:pt idx="13" formatCode="#,##0.000">
                  <c:v>99.63</c:v>
                </c:pt>
                <c:pt idx="14" formatCode="#,##0.000">
                  <c:v>98.14</c:v>
                </c:pt>
                <c:pt idx="15" formatCode="#,##0.000">
                  <c:v>97.12</c:v>
                </c:pt>
                <c:pt idx="16" formatCode="#,##0.000">
                  <c:v>97.15</c:v>
                </c:pt>
                <c:pt idx="17" formatCode="#,##0.000">
                  <c:v>95.02</c:v>
                </c:pt>
                <c:pt idx="18" formatCode="#,##0.000">
                  <c:v>95.34</c:v>
                </c:pt>
                <c:pt idx="19" formatCode="#,##0.000">
                  <c:v>94.33</c:v>
                </c:pt>
                <c:pt idx="20" formatCode="#,##0.000">
                  <c:v>94.07</c:v>
                </c:pt>
                <c:pt idx="21" formatCode="#,##0.000">
                  <c:v>94.22</c:v>
                </c:pt>
                <c:pt idx="22" formatCode="#,##0.000">
                  <c:v>94.68</c:v>
                </c:pt>
                <c:pt idx="23" formatCode="#,##0.000">
                  <c:v>94.83</c:v>
                </c:pt>
                <c:pt idx="24" formatCode="#,##0.000">
                  <c:v>94.22</c:v>
                </c:pt>
                <c:pt idx="25" formatCode="#,##0.000">
                  <c:v>93.84</c:v>
                </c:pt>
                <c:pt idx="26" formatCode="#,##0.000">
                  <c:v>92.93</c:v>
                </c:pt>
                <c:pt idx="27" formatCode="#,##0.000">
                  <c:v>92.78</c:v>
                </c:pt>
                <c:pt idx="28" formatCode="#,##0.000">
                  <c:v>92.39</c:v>
                </c:pt>
                <c:pt idx="29" formatCode="#,##0.000">
                  <c:v>93.29</c:v>
                </c:pt>
                <c:pt idx="30" formatCode="#,##0.000">
                  <c:v>92.75</c:v>
                </c:pt>
                <c:pt idx="31" formatCode="#,##0.000">
                  <c:v>94.38</c:v>
                </c:pt>
                <c:pt idx="32" formatCode="#,##0.000">
                  <c:v>94.34</c:v>
                </c:pt>
                <c:pt idx="33" formatCode="#,##0.000">
                  <c:v>94.9</c:v>
                </c:pt>
                <c:pt idx="34" formatCode="#,##0.000">
                  <c:v>94.37</c:v>
                </c:pt>
                <c:pt idx="35" formatCode="#,##0.000">
                  <c:v>94.85</c:v>
                </c:pt>
                <c:pt idx="36" formatCode="#,##0.000">
                  <c:v>95.82</c:v>
                </c:pt>
                <c:pt idx="37" formatCode="#,##0.000">
                  <c:v>96.44</c:v>
                </c:pt>
                <c:pt idx="38" formatCode="#,##0.000">
                  <c:v>96.73</c:v>
                </c:pt>
                <c:pt idx="39" formatCode="#,##0.000">
                  <c:v>97.37</c:v>
                </c:pt>
                <c:pt idx="40" formatCode="#,##0.000">
                  <c:v>97.23</c:v>
                </c:pt>
                <c:pt idx="41" formatCode="#,##0.000">
                  <c:v>95.66</c:v>
                </c:pt>
                <c:pt idx="42" formatCode="#,##0.000">
                  <c:v>92.41</c:v>
                </c:pt>
                <c:pt idx="43" formatCode="#,##0.000">
                  <c:v>93.08</c:v>
                </c:pt>
                <c:pt idx="44" formatCode="#,##0.000">
                  <c:v>92.35</c:v>
                </c:pt>
                <c:pt idx="45" formatCode="#,##0.000">
                  <c:v>92.36</c:v>
                </c:pt>
                <c:pt idx="46" formatCode="#,##0.000">
                  <c:v>92.19</c:v>
                </c:pt>
                <c:pt idx="47" formatCode="#,##0.000">
                  <c:v>93.28</c:v>
                </c:pt>
                <c:pt idx="48" formatCode="#,##0.000">
                  <c:v>94.29</c:v>
                </c:pt>
                <c:pt idx="49" formatCode="#,##0.000">
                  <c:v>95.02</c:v>
                </c:pt>
                <c:pt idx="50" formatCode="#,##0.000">
                  <c:v>95.04</c:v>
                </c:pt>
                <c:pt idx="51" formatCode="#,##0.000">
                  <c:v>95.63</c:v>
                </c:pt>
                <c:pt idx="52" formatCode="#,##0.000">
                  <c:v>93.7</c:v>
                </c:pt>
                <c:pt idx="53" formatCode="#,##0.000">
                  <c:v>92.66</c:v>
                </c:pt>
                <c:pt idx="54" formatCode="#,##0.000">
                  <c:v>93.42</c:v>
                </c:pt>
                <c:pt idx="55" formatCode="#,##0.000">
                  <c:v>91.2</c:v>
                </c:pt>
                <c:pt idx="56" formatCode="#,##0.000">
                  <c:v>91.53</c:v>
                </c:pt>
                <c:pt idx="57" formatCode="#,##0.000">
                  <c:v>91</c:v>
                </c:pt>
                <c:pt idx="58" formatCode="#,##0.000">
                  <c:v>91.84</c:v>
                </c:pt>
                <c:pt idx="59" formatCode="#,##0.000">
                  <c:v>91.39</c:v>
                </c:pt>
                <c:pt idx="60" formatCode="#,##0.000">
                  <c:v>93.03</c:v>
                </c:pt>
                <c:pt idx="61" formatCode="#,##0.000">
                  <c:v>93.1</c:v>
                </c:pt>
                <c:pt idx="62" formatCode="#,##0.000">
                  <c:v>94.06</c:v>
                </c:pt>
                <c:pt idx="63" formatCode="#,##0.000">
                  <c:v>93.78</c:v>
                </c:pt>
                <c:pt idx="64">
                  <c:v>92.34</c:v>
                </c:pt>
                <c:pt idx="65">
                  <c:v>92.05</c:v>
                </c:pt>
                <c:pt idx="66">
                  <c:v>91.42</c:v>
                </c:pt>
                <c:pt idx="67">
                  <c:v>92.94</c:v>
                </c:pt>
                <c:pt idx="68">
                  <c:v>94.4</c:v>
                </c:pt>
                <c:pt idx="69">
                  <c:v>95.23</c:v>
                </c:pt>
                <c:pt idx="70">
                  <c:v>95.41</c:v>
                </c:pt>
                <c:pt idx="71">
                  <c:v>94.84</c:v>
                </c:pt>
                <c:pt idx="72">
                  <c:v>96.5</c:v>
                </c:pt>
                <c:pt idx="73">
                  <c:v>96.4</c:v>
                </c:pt>
                <c:pt idx="74">
                  <c:v>96.88</c:v>
                </c:pt>
                <c:pt idx="75">
                  <c:v>96.78</c:v>
                </c:pt>
                <c:pt idx="76">
                  <c:v>98.21</c:v>
                </c:pt>
                <c:pt idx="77">
                  <c:v>98</c:v>
                </c:pt>
                <c:pt idx="78">
                  <c:v>98.33</c:v>
                </c:pt>
                <c:pt idx="79">
                  <c:v>98.65</c:v>
                </c:pt>
                <c:pt idx="80">
                  <c:v>99.64</c:v>
                </c:pt>
                <c:pt idx="81">
                  <c:v>100.22</c:v>
                </c:pt>
                <c:pt idx="82">
                  <c:v>102.76</c:v>
                </c:pt>
                <c:pt idx="83">
                  <c:v>102.47</c:v>
                </c:pt>
                <c:pt idx="84">
                  <c:v>103.43</c:v>
                </c:pt>
                <c:pt idx="85">
                  <c:v>104.41</c:v>
                </c:pt>
                <c:pt idx="86">
                  <c:v>104.28</c:v>
                </c:pt>
                <c:pt idx="87">
                  <c:v>103.24</c:v>
                </c:pt>
                <c:pt idx="88">
                  <c:v>100.8</c:v>
                </c:pt>
                <c:pt idx="89">
                  <c:v>102.01</c:v>
                </c:pt>
                <c:pt idx="90">
                  <c:v>102.62</c:v>
                </c:pt>
                <c:pt idx="91">
                  <c:v>101.62</c:v>
                </c:pt>
                <c:pt idx="92">
                  <c:v>101.03</c:v>
                </c:pt>
                <c:pt idx="93">
                  <c:v>99.86</c:v>
                </c:pt>
                <c:pt idx="94">
                  <c:v>97</c:v>
                </c:pt>
                <c:pt idx="95">
                  <c:v>98.67</c:v>
                </c:pt>
                <c:pt idx="96">
                  <c:v>99.83</c:v>
                </c:pt>
                <c:pt idx="97">
                  <c:v>99.83</c:v>
                </c:pt>
                <c:pt idx="98">
                  <c:v>99.8</c:v>
                </c:pt>
                <c:pt idx="99">
                  <c:v>99.52</c:v>
                </c:pt>
                <c:pt idx="100">
                  <c:v>98.46</c:v>
                </c:pt>
                <c:pt idx="101">
                  <c:v>96.74</c:v>
                </c:pt>
                <c:pt idx="102">
                  <c:v>96.81</c:v>
                </c:pt>
                <c:pt idx="103">
                  <c:v>97.14</c:v>
                </c:pt>
                <c:pt idx="104">
                  <c:v>99.55</c:v>
                </c:pt>
                <c:pt idx="105">
                  <c:v>99.31</c:v>
                </c:pt>
                <c:pt idx="106">
                  <c:v>98.29</c:v>
                </c:pt>
                <c:pt idx="107">
                  <c:v>97.42</c:v>
                </c:pt>
              </c:numCache>
            </c:numRef>
          </c:val>
          <c:smooth val="0"/>
          <c:extLst>
            <c:ext xmlns:c16="http://schemas.microsoft.com/office/drawing/2014/chart" uri="{C3380CC4-5D6E-409C-BE32-E72D297353CC}">
              <c16:uniqueId val="{00000003-FE79-4810-A03C-92DF2A483DFC}"/>
            </c:ext>
          </c:extLst>
        </c:ser>
        <c:ser>
          <c:idx val="4"/>
          <c:order val="4"/>
          <c:tx>
            <c:strRef>
              <c:f>月报图1和第一段!$F$1</c:f>
              <c:strCache>
                <c:ptCount val="1"/>
                <c:pt idx="0">
                  <c:v>人民币汇率指数:SDR 货币篮子</c:v>
                </c:pt>
              </c:strCache>
            </c:strRef>
          </c:tx>
          <c:spPr>
            <a:ln w="28575" cap="rnd" cmpd="sng" algn="ctr">
              <a:solidFill>
                <a:schemeClr val="accent5"/>
              </a:solidFill>
              <a:prstDash val="solid"/>
              <a:round/>
            </a:ln>
            <a:effectLst/>
          </c:spPr>
          <c:marker>
            <c:symbol val="none"/>
          </c:marker>
          <c:cat>
            <c:strRef>
              <c:f>月报图1和第一段!$A$2:$A$109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 2020/5</c:v>
                </c:pt>
                <c:pt idx="65">
                  <c:v> 2020/6</c:v>
                </c:pt>
                <c:pt idx="66">
                  <c:v> 2020/7</c:v>
                </c:pt>
                <c:pt idx="67">
                  <c:v> 2020/8</c:v>
                </c:pt>
                <c:pt idx="68">
                  <c:v> 2020/9</c:v>
                </c:pt>
                <c:pt idx="69">
                  <c:v> 2020/10</c:v>
                </c:pt>
                <c:pt idx="70">
                  <c:v> 2020/11</c:v>
                </c:pt>
                <c:pt idx="71">
                  <c:v> 2020/12</c:v>
                </c:pt>
                <c:pt idx="72">
                  <c:v> 2021/1</c:v>
                </c:pt>
                <c:pt idx="73">
                  <c:v> 2021/2</c:v>
                </c:pt>
                <c:pt idx="74">
                  <c:v> 2021/3</c:v>
                </c:pt>
                <c:pt idx="75">
                  <c:v> 2021/4</c:v>
                </c:pt>
                <c:pt idx="76">
                  <c:v> 2021/5</c:v>
                </c:pt>
                <c:pt idx="77">
                  <c:v> 2021/6</c:v>
                </c:pt>
                <c:pt idx="78">
                  <c:v> 2021/7</c:v>
                </c:pt>
                <c:pt idx="79">
                  <c:v> 2021/8</c:v>
                </c:pt>
                <c:pt idx="80">
                  <c:v> 2021/9</c:v>
                </c:pt>
                <c:pt idx="81">
                  <c:v> 2021/10</c:v>
                </c:pt>
                <c:pt idx="82">
                  <c:v> 2021/11</c:v>
                </c:pt>
                <c:pt idx="83">
                  <c:v> 2021/12</c:v>
                </c:pt>
                <c:pt idx="84">
                  <c:v> 2022/1</c:v>
                </c:pt>
                <c:pt idx="85">
                  <c:v> 2022/2</c:v>
                </c:pt>
                <c:pt idx="86">
                  <c:v> 2022/3</c:v>
                </c:pt>
                <c:pt idx="87">
                  <c:v> 2022/4</c:v>
                </c:pt>
                <c:pt idx="88">
                  <c:v> 2022/5</c:v>
                </c:pt>
                <c:pt idx="89">
                  <c:v> 2022/6</c:v>
                </c:pt>
                <c:pt idx="90">
                  <c:v> 2022/7</c:v>
                </c:pt>
                <c:pt idx="91">
                  <c:v> 2022/8</c:v>
                </c:pt>
                <c:pt idx="92">
                  <c:v> 2022/9</c:v>
                </c:pt>
                <c:pt idx="93">
                  <c:v> 2022/10</c:v>
                </c:pt>
                <c:pt idx="94">
                  <c:v> 2022/11</c:v>
                </c:pt>
                <c:pt idx="95">
                  <c:v> 2022/12</c:v>
                </c:pt>
                <c:pt idx="96">
                  <c:v> 2023/1</c:v>
                </c:pt>
                <c:pt idx="97">
                  <c:v> 2023/2</c:v>
                </c:pt>
                <c:pt idx="98">
                  <c:v> 2023/3</c:v>
                </c:pt>
                <c:pt idx="99">
                  <c:v> 2023/4</c:v>
                </c:pt>
                <c:pt idx="100">
                  <c:v> 2023/5</c:v>
                </c:pt>
                <c:pt idx="101">
                  <c:v> 2023/6</c:v>
                </c:pt>
                <c:pt idx="102">
                  <c:v> 2023/7</c:v>
                </c:pt>
                <c:pt idx="103">
                  <c:v> 2023/8</c:v>
                </c:pt>
                <c:pt idx="104">
                  <c:v> 2023/9</c:v>
                </c:pt>
                <c:pt idx="105">
                  <c:v> 2023/10</c:v>
                </c:pt>
                <c:pt idx="106">
                  <c:v> 2023/11</c:v>
                </c:pt>
                <c:pt idx="107">
                  <c:v> 2023/12</c:v>
                </c:pt>
              </c:strCache>
            </c:strRef>
          </c:cat>
          <c:val>
            <c:numRef>
              <c:f>月报图1和第一段!$F$2:$F$109</c:f>
              <c:numCache>
                <c:formatCode>General</c:formatCode>
                <c:ptCount val="108"/>
                <c:pt idx="10" formatCode="#,##0.000">
                  <c:v>101.56</c:v>
                </c:pt>
                <c:pt idx="11" formatCode="#,##0.000">
                  <c:v>98.84</c:v>
                </c:pt>
                <c:pt idx="12" formatCode="#,##0.000">
                  <c:v>98.09</c:v>
                </c:pt>
                <c:pt idx="13" formatCode="#,##0.000">
                  <c:v>98.23</c:v>
                </c:pt>
                <c:pt idx="14" formatCode="#,##0.000">
                  <c:v>97.61</c:v>
                </c:pt>
                <c:pt idx="15" formatCode="#,##0.000">
                  <c:v>97.04</c:v>
                </c:pt>
                <c:pt idx="16" formatCode="#,##0.000">
                  <c:v>96.21</c:v>
                </c:pt>
                <c:pt idx="17" formatCode="#,##0.000">
                  <c:v>95.76</c:v>
                </c:pt>
                <c:pt idx="18" formatCode="#,##0.000">
                  <c:v>95.99</c:v>
                </c:pt>
                <c:pt idx="19" formatCode="#,##0.000">
                  <c:v>95.11</c:v>
                </c:pt>
                <c:pt idx="20" formatCode="#,##0.000">
                  <c:v>95.05</c:v>
                </c:pt>
                <c:pt idx="21" formatCode="#,##0.000">
                  <c:v>95.52</c:v>
                </c:pt>
                <c:pt idx="22" formatCode="#,##0.000">
                  <c:v>95.26</c:v>
                </c:pt>
                <c:pt idx="23" formatCode="#,##0.000">
                  <c:v>95.5</c:v>
                </c:pt>
                <c:pt idx="24" formatCode="#,##0.000">
                  <c:v>95.35</c:v>
                </c:pt>
                <c:pt idx="25" formatCode="#,##0.000">
                  <c:v>95.79</c:v>
                </c:pt>
                <c:pt idx="26" formatCode="#,##0.000">
                  <c:v>95.03</c:v>
                </c:pt>
                <c:pt idx="27" formatCode="#,##0.000">
                  <c:v>94.21</c:v>
                </c:pt>
                <c:pt idx="28" formatCode="#,##0.000">
                  <c:v>93.72</c:v>
                </c:pt>
                <c:pt idx="29" formatCode="#,##0.000">
                  <c:v>94.18</c:v>
                </c:pt>
                <c:pt idx="30" formatCode="#,##0.000">
                  <c:v>93.75</c:v>
                </c:pt>
                <c:pt idx="31" formatCode="#,##0.000">
                  <c:v>95.29</c:v>
                </c:pt>
                <c:pt idx="32" formatCode="#,##0.000">
                  <c:v>94.88</c:v>
                </c:pt>
                <c:pt idx="33" formatCode="#,##0.000">
                  <c:v>95.46</c:v>
                </c:pt>
                <c:pt idx="34" formatCode="#,##0.000">
                  <c:v>95.19</c:v>
                </c:pt>
                <c:pt idx="35" formatCode="#,##0.000">
                  <c:v>95.99</c:v>
                </c:pt>
                <c:pt idx="36" formatCode="#,##0.000">
                  <c:v>96.94</c:v>
                </c:pt>
                <c:pt idx="37" formatCode="#,##0.000">
                  <c:v>97.56</c:v>
                </c:pt>
                <c:pt idx="38" formatCode="#,##0.000">
                  <c:v>97.79</c:v>
                </c:pt>
                <c:pt idx="39" formatCode="#,##0.000">
                  <c:v>97.89</c:v>
                </c:pt>
                <c:pt idx="40" formatCode="#,##0.000">
                  <c:v>98.34</c:v>
                </c:pt>
                <c:pt idx="41" formatCode="#,##0.000">
                  <c:v>95.89</c:v>
                </c:pt>
                <c:pt idx="42" formatCode="#,##0.000">
                  <c:v>92.7</c:v>
                </c:pt>
                <c:pt idx="43" formatCode="#,##0.000">
                  <c:v>92.75</c:v>
                </c:pt>
                <c:pt idx="44" formatCode="#,##0.000">
                  <c:v>92.23</c:v>
                </c:pt>
                <c:pt idx="45" formatCode="#,##0.000">
                  <c:v>92.16</c:v>
                </c:pt>
                <c:pt idx="46" formatCode="#,##0.000">
                  <c:v>92.39</c:v>
                </c:pt>
                <c:pt idx="47" formatCode="#,##0.000">
                  <c:v>93.14</c:v>
                </c:pt>
                <c:pt idx="48" formatCode="#,##0.000">
                  <c:v>94.76</c:v>
                </c:pt>
                <c:pt idx="49" formatCode="#,##0.000">
                  <c:v>95.28</c:v>
                </c:pt>
                <c:pt idx="50" formatCode="#,##0.000">
                  <c:v>95.23</c:v>
                </c:pt>
                <c:pt idx="51" formatCode="#,##0.000">
                  <c:v>95.6</c:v>
                </c:pt>
                <c:pt idx="52" formatCode="#,##0.000">
                  <c:v>93.41</c:v>
                </c:pt>
                <c:pt idx="53" formatCode="#,##0.000">
                  <c:v>92.89</c:v>
                </c:pt>
                <c:pt idx="54" formatCode="#,##0.000">
                  <c:v>93.8</c:v>
                </c:pt>
                <c:pt idx="55" formatCode="#,##0.000">
                  <c:v>91.01</c:v>
                </c:pt>
                <c:pt idx="56" formatCode="#,##0.000">
                  <c:v>91.66</c:v>
                </c:pt>
                <c:pt idx="57" formatCode="#,##0.000">
                  <c:v>91.08</c:v>
                </c:pt>
                <c:pt idx="58" formatCode="#,##0.000">
                  <c:v>91.84</c:v>
                </c:pt>
                <c:pt idx="59" formatCode="#,##0.000">
                  <c:v>91.81</c:v>
                </c:pt>
                <c:pt idx="60" formatCode="#,##0.000">
                  <c:v>93.37</c:v>
                </c:pt>
                <c:pt idx="61" formatCode="#,##0.000">
                  <c:v>92.21</c:v>
                </c:pt>
                <c:pt idx="62" formatCode="#,##0.000">
                  <c:v>91.35</c:v>
                </c:pt>
                <c:pt idx="63" formatCode="#,##0.000">
                  <c:v>91.95</c:v>
                </c:pt>
                <c:pt idx="64">
                  <c:v>90.6</c:v>
                </c:pt>
                <c:pt idx="65">
                  <c:v>90.78</c:v>
                </c:pt>
                <c:pt idx="66">
                  <c:v>89.56</c:v>
                </c:pt>
                <c:pt idx="67">
                  <c:v>91.05</c:v>
                </c:pt>
                <c:pt idx="68">
                  <c:v>92.45</c:v>
                </c:pt>
                <c:pt idx="69">
                  <c:v>93.7</c:v>
                </c:pt>
                <c:pt idx="70">
                  <c:v>94.63</c:v>
                </c:pt>
                <c:pt idx="71">
                  <c:v>94.23</c:v>
                </c:pt>
                <c:pt idx="72">
                  <c:v>95.55</c:v>
                </c:pt>
                <c:pt idx="73">
                  <c:v>95.42</c:v>
                </c:pt>
                <c:pt idx="74">
                  <c:v>95.66</c:v>
                </c:pt>
                <c:pt idx="75">
                  <c:v>95.83</c:v>
                </c:pt>
                <c:pt idx="76">
                  <c:v>97.08</c:v>
                </c:pt>
                <c:pt idx="77">
                  <c:v>96.77</c:v>
                </c:pt>
                <c:pt idx="78">
                  <c:v>96.63</c:v>
                </c:pt>
                <c:pt idx="79">
                  <c:v>96.94</c:v>
                </c:pt>
                <c:pt idx="80">
                  <c:v>97.61</c:v>
                </c:pt>
                <c:pt idx="81">
                  <c:v>98.73</c:v>
                </c:pt>
                <c:pt idx="82">
                  <c:v>100.39</c:v>
                </c:pt>
                <c:pt idx="83">
                  <c:v>100.34</c:v>
                </c:pt>
                <c:pt idx="84">
                  <c:v>101.03</c:v>
                </c:pt>
                <c:pt idx="85">
                  <c:v>101.8</c:v>
                </c:pt>
                <c:pt idx="86">
                  <c:v>102.11</c:v>
                </c:pt>
                <c:pt idx="87">
                  <c:v>101.14</c:v>
                </c:pt>
                <c:pt idx="88">
                  <c:v>99.29</c:v>
                </c:pt>
                <c:pt idx="89">
                  <c:v>100.61</c:v>
                </c:pt>
                <c:pt idx="90">
                  <c:v>100.78</c:v>
                </c:pt>
                <c:pt idx="91">
                  <c:v>99.76</c:v>
                </c:pt>
                <c:pt idx="92">
                  <c:v>98.27</c:v>
                </c:pt>
                <c:pt idx="93">
                  <c:v>96.56</c:v>
                </c:pt>
                <c:pt idx="94">
                  <c:v>94.7</c:v>
                </c:pt>
                <c:pt idx="95">
                  <c:v>96.08</c:v>
                </c:pt>
                <c:pt idx="96">
                  <c:v>98.02</c:v>
                </c:pt>
                <c:pt idx="97">
                  <c:v>96.59</c:v>
                </c:pt>
                <c:pt idx="98">
                  <c:v>96.4</c:v>
                </c:pt>
                <c:pt idx="99">
                  <c:v>95.31</c:v>
                </c:pt>
                <c:pt idx="100">
                  <c:v>94.43</c:v>
                </c:pt>
                <c:pt idx="101">
                  <c:v>92.17</c:v>
                </c:pt>
                <c:pt idx="102">
                  <c:v>92.6</c:v>
                </c:pt>
                <c:pt idx="103">
                  <c:v>92.23</c:v>
                </c:pt>
                <c:pt idx="104">
                  <c:v>94.26</c:v>
                </c:pt>
                <c:pt idx="105">
                  <c:v>94</c:v>
                </c:pt>
                <c:pt idx="106">
                  <c:v>93.64</c:v>
                </c:pt>
                <c:pt idx="107">
                  <c:v>93.23</c:v>
                </c:pt>
              </c:numCache>
            </c:numRef>
          </c:val>
          <c:smooth val="0"/>
          <c:extLst>
            <c:ext xmlns:c16="http://schemas.microsoft.com/office/drawing/2014/chart" uri="{C3380CC4-5D6E-409C-BE32-E72D297353CC}">
              <c16:uniqueId val="{00000004-FE79-4810-A03C-92DF2A483DFC}"/>
            </c:ext>
          </c:extLst>
        </c:ser>
        <c:dLbls>
          <c:showLegendKey val="0"/>
          <c:showVal val="0"/>
          <c:showCatName val="0"/>
          <c:showSerName val="0"/>
          <c:showPercent val="0"/>
          <c:showBubbleSize val="0"/>
        </c:dLbls>
        <c:smooth val="0"/>
        <c:axId val="129304064"/>
        <c:axId val="129305600"/>
      </c:lineChart>
      <c:catAx>
        <c:axId val="12930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305600"/>
        <c:crosses val="autoZero"/>
        <c:auto val="1"/>
        <c:lblAlgn val="ctr"/>
        <c:lblOffset val="100"/>
        <c:noMultiLvlLbl val="0"/>
      </c:catAx>
      <c:valAx>
        <c:axId val="129305600"/>
        <c:scaling>
          <c:orientation val="minMax"/>
          <c:max val="136"/>
          <c:min val="9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ln w="6350"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304064"/>
        <c:crosses val="autoZero"/>
        <c:crossBetween val="between"/>
      </c:valAx>
      <c:spPr>
        <a:noFill/>
        <a:ln w="25400">
          <a:noFill/>
        </a:ln>
      </c:spPr>
    </c:plotArea>
    <c:legend>
      <c:legendPos val="b"/>
      <c:legendEntry>
        <c:idx val="0"/>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3"/>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egendEntry>
        <c:idx val="4"/>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legendEntry>
      <c:layout>
        <c:manualLayout>
          <c:xMode val="edge"/>
          <c:yMode val="edge"/>
          <c:x val="5.4224154439158866E-2"/>
          <c:y val="0.38177803164116969"/>
          <c:w val="0.37039218655360434"/>
          <c:h val="0.270558586415929"/>
        </c:manualLayout>
      </c:layout>
      <c:overlay val="1"/>
      <c:spPr>
        <a:noFill/>
        <a:ln w="25400">
          <a:noFill/>
        </a:ln>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232406286330421E-2"/>
          <c:y val="2.1794785988284465E-2"/>
          <c:w val="0.94646740276246755"/>
          <c:h val="0.83031005812015068"/>
        </c:manualLayout>
      </c:layout>
      <c:lineChart>
        <c:grouping val="standard"/>
        <c:varyColors val="0"/>
        <c:ser>
          <c:idx val="0"/>
          <c:order val="0"/>
          <c:tx>
            <c:strRef>
              <c:f>'月报图2 年报图4'!$B$1</c:f>
              <c:strCache>
                <c:ptCount val="1"/>
                <c:pt idx="0">
                  <c:v>可贸易品基于增加值人民币有效汇率</c:v>
                </c:pt>
              </c:strCache>
            </c:strRef>
          </c:tx>
          <c:spPr>
            <a:ln w="28575" cap="rnd" cmpd="sng" algn="ctr">
              <a:solidFill>
                <a:schemeClr val="accent1"/>
              </a:solidFill>
              <a:prstDash val="solid"/>
              <a:round/>
            </a:ln>
          </c:spPr>
          <c:marker>
            <c:symbol val="none"/>
          </c:marker>
          <c:cat>
            <c:strRef>
              <c:f>'月报图2 年报图4'!$A$2:$A$109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2020m5</c:v>
                </c:pt>
                <c:pt idx="65">
                  <c:v>2020m6</c:v>
                </c:pt>
                <c:pt idx="66">
                  <c:v>2020m7</c:v>
                </c:pt>
                <c:pt idx="67">
                  <c:v>2020m8</c:v>
                </c:pt>
                <c:pt idx="68">
                  <c:v>2020m9</c:v>
                </c:pt>
                <c:pt idx="69">
                  <c:v>2020m10</c:v>
                </c:pt>
                <c:pt idx="70">
                  <c:v>2020m11</c:v>
                </c:pt>
                <c:pt idx="71">
                  <c:v>2020m12</c:v>
                </c:pt>
                <c:pt idx="72">
                  <c:v>2021m1</c:v>
                </c:pt>
                <c:pt idx="73">
                  <c:v>2021m2</c:v>
                </c:pt>
                <c:pt idx="74">
                  <c:v>2021m3</c:v>
                </c:pt>
                <c:pt idx="75">
                  <c:v>2021m4</c:v>
                </c:pt>
                <c:pt idx="76">
                  <c:v>2021m5</c:v>
                </c:pt>
                <c:pt idx="77">
                  <c:v>2021m6</c:v>
                </c:pt>
                <c:pt idx="78">
                  <c:v>2021m7</c:v>
                </c:pt>
                <c:pt idx="79">
                  <c:v>2021m8</c:v>
                </c:pt>
                <c:pt idx="80">
                  <c:v>2021m9</c:v>
                </c:pt>
                <c:pt idx="81">
                  <c:v>2021m10</c:v>
                </c:pt>
                <c:pt idx="82">
                  <c:v>2021m11</c:v>
                </c:pt>
                <c:pt idx="83">
                  <c:v>2021m12</c:v>
                </c:pt>
                <c:pt idx="84">
                  <c:v>2022m1</c:v>
                </c:pt>
                <c:pt idx="85">
                  <c:v>2022m2</c:v>
                </c:pt>
                <c:pt idx="86">
                  <c:v>2022m3</c:v>
                </c:pt>
                <c:pt idx="87">
                  <c:v>2022m4</c:v>
                </c:pt>
                <c:pt idx="88">
                  <c:v>2022m5</c:v>
                </c:pt>
                <c:pt idx="89">
                  <c:v>2022m6</c:v>
                </c:pt>
                <c:pt idx="90">
                  <c:v>2022m7</c:v>
                </c:pt>
                <c:pt idx="91">
                  <c:v>2022m8</c:v>
                </c:pt>
                <c:pt idx="92">
                  <c:v>2022m9</c:v>
                </c:pt>
                <c:pt idx="93">
                  <c:v>2022m10</c:v>
                </c:pt>
                <c:pt idx="94">
                  <c:v>2022m11</c:v>
                </c:pt>
                <c:pt idx="95">
                  <c:v>2022m12</c:v>
                </c:pt>
                <c:pt idx="96">
                  <c:v>2023m1</c:v>
                </c:pt>
                <c:pt idx="97">
                  <c:v>2023m2</c:v>
                </c:pt>
                <c:pt idx="98">
                  <c:v>2023m3</c:v>
                </c:pt>
                <c:pt idx="99">
                  <c:v>2023m4</c:v>
                </c:pt>
                <c:pt idx="100">
                  <c:v>2023m5</c:v>
                </c:pt>
                <c:pt idx="101">
                  <c:v>2023m6</c:v>
                </c:pt>
                <c:pt idx="102">
                  <c:v>2023m7</c:v>
                </c:pt>
                <c:pt idx="103">
                  <c:v>2023m8</c:v>
                </c:pt>
                <c:pt idx="104">
                  <c:v>2023m9</c:v>
                </c:pt>
                <c:pt idx="105">
                  <c:v>2023m10</c:v>
                </c:pt>
                <c:pt idx="106">
                  <c:v>2023m11</c:v>
                </c:pt>
                <c:pt idx="107">
                  <c:v>2023m12</c:v>
                </c:pt>
              </c:strCache>
            </c:strRef>
          </c:cat>
          <c:val>
            <c:numRef>
              <c:f>'月报图2 年报图4'!$B$2:$B$109</c:f>
              <c:numCache>
                <c:formatCode>General</c:formatCode>
                <c:ptCount val="108"/>
                <c:pt idx="0">
                  <c:v>125.2165</c:v>
                </c:pt>
                <c:pt idx="1">
                  <c:v>126.1414</c:v>
                </c:pt>
                <c:pt idx="2">
                  <c:v>128.99119999999999</c:v>
                </c:pt>
                <c:pt idx="3">
                  <c:v>128.75309999999999</c:v>
                </c:pt>
                <c:pt idx="4">
                  <c:v>127.47150000000001</c:v>
                </c:pt>
                <c:pt idx="5">
                  <c:v>128.38720000000001</c:v>
                </c:pt>
                <c:pt idx="6">
                  <c:v>129.8947</c:v>
                </c:pt>
                <c:pt idx="7">
                  <c:v>128.1499</c:v>
                </c:pt>
                <c:pt idx="8">
                  <c:v>127.6523</c:v>
                </c:pt>
                <c:pt idx="9">
                  <c:v>127.14109999999999</c:v>
                </c:pt>
                <c:pt idx="10">
                  <c:v>129.33330000000001</c:v>
                </c:pt>
                <c:pt idx="11">
                  <c:v>127.58280000000001</c:v>
                </c:pt>
                <c:pt idx="12">
                  <c:v>126.0432</c:v>
                </c:pt>
                <c:pt idx="13">
                  <c:v>124.9738</c:v>
                </c:pt>
                <c:pt idx="14">
                  <c:v>124.15300000000001</c:v>
                </c:pt>
                <c:pt idx="15">
                  <c:v>122.55249999999999</c:v>
                </c:pt>
                <c:pt idx="16">
                  <c:v>122.04170000000001</c:v>
                </c:pt>
                <c:pt idx="17">
                  <c:v>120.41970000000001</c:v>
                </c:pt>
                <c:pt idx="18">
                  <c:v>119.15009999999999</c:v>
                </c:pt>
                <c:pt idx="19">
                  <c:v>118.26600000000001</c:v>
                </c:pt>
                <c:pt idx="20">
                  <c:v>118.0093</c:v>
                </c:pt>
                <c:pt idx="21">
                  <c:v>118.31100000000001</c:v>
                </c:pt>
                <c:pt idx="22">
                  <c:v>118.7484</c:v>
                </c:pt>
                <c:pt idx="23">
                  <c:v>119.7505</c:v>
                </c:pt>
                <c:pt idx="24">
                  <c:v>119.5638</c:v>
                </c:pt>
                <c:pt idx="25">
                  <c:v>118.7312</c:v>
                </c:pt>
                <c:pt idx="26">
                  <c:v>118.0838</c:v>
                </c:pt>
                <c:pt idx="27">
                  <c:v>117.34699999999999</c:v>
                </c:pt>
                <c:pt idx="28">
                  <c:v>116.60129999999999</c:v>
                </c:pt>
                <c:pt idx="29">
                  <c:v>117.1307</c:v>
                </c:pt>
                <c:pt idx="30">
                  <c:v>116.8416</c:v>
                </c:pt>
                <c:pt idx="31">
                  <c:v>117.1752</c:v>
                </c:pt>
                <c:pt idx="32">
                  <c:v>118.4597</c:v>
                </c:pt>
                <c:pt idx="33">
                  <c:v>118.7642</c:v>
                </c:pt>
                <c:pt idx="34">
                  <c:v>118.94970000000001</c:v>
                </c:pt>
                <c:pt idx="35">
                  <c:v>118.96259999999999</c:v>
                </c:pt>
                <c:pt idx="36">
                  <c:v>119.8454</c:v>
                </c:pt>
                <c:pt idx="37">
                  <c:v>121.0877</c:v>
                </c:pt>
                <c:pt idx="38">
                  <c:v>120.9914</c:v>
                </c:pt>
                <c:pt idx="39">
                  <c:v>122.2076</c:v>
                </c:pt>
                <c:pt idx="40">
                  <c:v>123.5896</c:v>
                </c:pt>
                <c:pt idx="41">
                  <c:v>122.876</c:v>
                </c:pt>
                <c:pt idx="42">
                  <c:v>118.904</c:v>
                </c:pt>
                <c:pt idx="43">
                  <c:v>117.6553</c:v>
                </c:pt>
                <c:pt idx="44">
                  <c:v>117.7867</c:v>
                </c:pt>
                <c:pt idx="45">
                  <c:v>117.1669</c:v>
                </c:pt>
                <c:pt idx="46">
                  <c:v>117.1906</c:v>
                </c:pt>
                <c:pt idx="47">
                  <c:v>117.98220000000001</c:v>
                </c:pt>
                <c:pt idx="48">
                  <c:v>118.6756</c:v>
                </c:pt>
                <c:pt idx="49">
                  <c:v>119.9221</c:v>
                </c:pt>
                <c:pt idx="50">
                  <c:v>120.7889</c:v>
                </c:pt>
                <c:pt idx="51">
                  <c:v>121.1741</c:v>
                </c:pt>
                <c:pt idx="52">
                  <c:v>119.34780000000001</c:v>
                </c:pt>
                <c:pt idx="53">
                  <c:v>117.6129</c:v>
                </c:pt>
                <c:pt idx="54">
                  <c:v>118.0509</c:v>
                </c:pt>
                <c:pt idx="55">
                  <c:v>115.7805</c:v>
                </c:pt>
                <c:pt idx="56">
                  <c:v>115.37350000000001</c:v>
                </c:pt>
                <c:pt idx="57">
                  <c:v>115.3374</c:v>
                </c:pt>
                <c:pt idx="58">
                  <c:v>116.5312</c:v>
                </c:pt>
                <c:pt idx="59">
                  <c:v>116.2868</c:v>
                </c:pt>
                <c:pt idx="60">
                  <c:v>117.8293</c:v>
                </c:pt>
                <c:pt idx="61">
                  <c:v>117.8643</c:v>
                </c:pt>
                <c:pt idx="62">
                  <c:v>118.7231</c:v>
                </c:pt>
                <c:pt idx="63">
                  <c:v>119.2216</c:v>
                </c:pt>
                <c:pt idx="64">
                  <c:v>118.41549999999999</c:v>
                </c:pt>
                <c:pt idx="65">
                  <c:v>116.6087</c:v>
                </c:pt>
                <c:pt idx="66">
                  <c:v>116.97499999999999</c:v>
                </c:pt>
                <c:pt idx="67">
                  <c:v>117.0129</c:v>
                </c:pt>
                <c:pt idx="68">
                  <c:v>119.1185</c:v>
                </c:pt>
                <c:pt idx="69">
                  <c:v>120.574</c:v>
                </c:pt>
                <c:pt idx="70">
                  <c:v>121.86669999999999</c:v>
                </c:pt>
                <c:pt idx="71">
                  <c:v>121.02379999999999</c:v>
                </c:pt>
                <c:pt idx="72">
                  <c:v>122.21899999999999</c:v>
                </c:pt>
                <c:pt idx="73">
                  <c:v>122.8741</c:v>
                </c:pt>
                <c:pt idx="74">
                  <c:v>123.6519</c:v>
                </c:pt>
                <c:pt idx="75">
                  <c:v>123.4235</c:v>
                </c:pt>
                <c:pt idx="76">
                  <c:v>124.0279</c:v>
                </c:pt>
                <c:pt idx="77">
                  <c:v>124.5566</c:v>
                </c:pt>
                <c:pt idx="78">
                  <c:v>124.959</c:v>
                </c:pt>
                <c:pt idx="79">
                  <c:v>125.1747</c:v>
                </c:pt>
                <c:pt idx="80">
                  <c:v>125.6786</c:v>
                </c:pt>
                <c:pt idx="81">
                  <c:v>127.8276</c:v>
                </c:pt>
                <c:pt idx="82">
                  <c:v>129.6636</c:v>
                </c:pt>
                <c:pt idx="83">
                  <c:v>131.209</c:v>
                </c:pt>
                <c:pt idx="84">
                  <c:v>131.46549999999999</c:v>
                </c:pt>
                <c:pt idx="85">
                  <c:v>131.71969999999999</c:v>
                </c:pt>
                <c:pt idx="86">
                  <c:v>134.89920000000001</c:v>
                </c:pt>
                <c:pt idx="87">
                  <c:v>134.33940000000001</c:v>
                </c:pt>
                <c:pt idx="88">
                  <c:v>130.6429</c:v>
                </c:pt>
                <c:pt idx="89">
                  <c:v>131.4863</c:v>
                </c:pt>
                <c:pt idx="90">
                  <c:v>133.5975</c:v>
                </c:pt>
                <c:pt idx="91">
                  <c:v>132.29220000000001</c:v>
                </c:pt>
                <c:pt idx="92">
                  <c:v>131.52340000000001</c:v>
                </c:pt>
                <c:pt idx="93">
                  <c:v>129.8699</c:v>
                </c:pt>
                <c:pt idx="94">
                  <c:v>127.21210000000001</c:v>
                </c:pt>
                <c:pt idx="95">
                  <c:v>127.9263</c:v>
                </c:pt>
                <c:pt idx="96">
                  <c:v>129.47319999999999</c:v>
                </c:pt>
                <c:pt idx="97">
                  <c:v>129.673</c:v>
                </c:pt>
                <c:pt idx="98">
                  <c:v>129.2458</c:v>
                </c:pt>
                <c:pt idx="99">
                  <c:v>128.33109999999999</c:v>
                </c:pt>
                <c:pt idx="100">
                  <c:v>127.3644</c:v>
                </c:pt>
                <c:pt idx="101">
                  <c:v>124.9693</c:v>
                </c:pt>
                <c:pt idx="102">
                  <c:v>123.9653</c:v>
                </c:pt>
                <c:pt idx="103">
                  <c:v>124.861</c:v>
                </c:pt>
                <c:pt idx="104">
                  <c:v>125.6844</c:v>
                </c:pt>
                <c:pt idx="105">
                  <c:v>126.6618</c:v>
                </c:pt>
                <c:pt idx="106">
                  <c:v>126.3647</c:v>
                </c:pt>
                <c:pt idx="107">
                  <c:v>126.3378</c:v>
                </c:pt>
              </c:numCache>
            </c:numRef>
          </c:val>
          <c:smooth val="0"/>
          <c:extLst>
            <c:ext xmlns:c16="http://schemas.microsoft.com/office/drawing/2014/chart" uri="{C3380CC4-5D6E-409C-BE32-E72D297353CC}">
              <c16:uniqueId val="{00000000-D229-475F-8216-34EB1CC84AB8}"/>
            </c:ext>
          </c:extLst>
        </c:ser>
        <c:ser>
          <c:idx val="1"/>
          <c:order val="1"/>
          <c:tx>
            <c:strRef>
              <c:f>'月报图2 年报图4'!$C$1</c:f>
              <c:strCache>
                <c:ptCount val="1"/>
                <c:pt idx="0">
                  <c:v>不可贸易品基于增加值人民币有效汇率</c:v>
                </c:pt>
              </c:strCache>
            </c:strRef>
          </c:tx>
          <c:spPr>
            <a:ln w="28575" cap="rnd" cmpd="sng" algn="ctr">
              <a:solidFill>
                <a:schemeClr val="accent2"/>
              </a:solidFill>
              <a:prstDash val="solid"/>
              <a:round/>
            </a:ln>
          </c:spPr>
          <c:marker>
            <c:symbol val="none"/>
          </c:marker>
          <c:cat>
            <c:strRef>
              <c:f>'月报图2 年报图4'!$A$2:$A$109</c:f>
              <c:strCache>
                <c:ptCount val="108"/>
                <c:pt idx="0">
                  <c:v>2015m1</c:v>
                </c:pt>
                <c:pt idx="1">
                  <c:v>2015m2</c:v>
                </c:pt>
                <c:pt idx="2">
                  <c:v>2015m3</c:v>
                </c:pt>
                <c:pt idx="3">
                  <c:v>2015m4</c:v>
                </c:pt>
                <c:pt idx="4">
                  <c:v>2015m5</c:v>
                </c:pt>
                <c:pt idx="5">
                  <c:v>2015m6</c:v>
                </c:pt>
                <c:pt idx="6">
                  <c:v>2015m7</c:v>
                </c:pt>
                <c:pt idx="7">
                  <c:v>2015m8</c:v>
                </c:pt>
                <c:pt idx="8">
                  <c:v>2015m9</c:v>
                </c:pt>
                <c:pt idx="9">
                  <c:v>2015m10</c:v>
                </c:pt>
                <c:pt idx="10">
                  <c:v>2015m11</c:v>
                </c:pt>
                <c:pt idx="11">
                  <c:v>2015m12</c:v>
                </c:pt>
                <c:pt idx="12">
                  <c:v>2016m1</c:v>
                </c:pt>
                <c:pt idx="13">
                  <c:v>2016m2</c:v>
                </c:pt>
                <c:pt idx="14">
                  <c:v>2016m3</c:v>
                </c:pt>
                <c:pt idx="15">
                  <c:v>2016m4</c:v>
                </c:pt>
                <c:pt idx="16">
                  <c:v>2016m5</c:v>
                </c:pt>
                <c:pt idx="17">
                  <c:v>2016m6</c:v>
                </c:pt>
                <c:pt idx="18">
                  <c:v>2016m7</c:v>
                </c:pt>
                <c:pt idx="19">
                  <c:v>2016m8</c:v>
                </c:pt>
                <c:pt idx="20">
                  <c:v>2016m9</c:v>
                </c:pt>
                <c:pt idx="21">
                  <c:v>2016m10</c:v>
                </c:pt>
                <c:pt idx="22">
                  <c:v>2016m11</c:v>
                </c:pt>
                <c:pt idx="23">
                  <c:v>2016m12</c:v>
                </c:pt>
                <c:pt idx="24">
                  <c:v>2017m1</c:v>
                </c:pt>
                <c:pt idx="25">
                  <c:v>2017m2</c:v>
                </c:pt>
                <c:pt idx="26">
                  <c:v>2017m3</c:v>
                </c:pt>
                <c:pt idx="27">
                  <c:v>2017m4</c:v>
                </c:pt>
                <c:pt idx="28">
                  <c:v>2017m5</c:v>
                </c:pt>
                <c:pt idx="29">
                  <c:v>2017m6</c:v>
                </c:pt>
                <c:pt idx="30">
                  <c:v>2017m7</c:v>
                </c:pt>
                <c:pt idx="31">
                  <c:v>2017m8</c:v>
                </c:pt>
                <c:pt idx="32">
                  <c:v>2017m9</c:v>
                </c:pt>
                <c:pt idx="33">
                  <c:v>2017m10</c:v>
                </c:pt>
                <c:pt idx="34">
                  <c:v>2017m11</c:v>
                </c:pt>
                <c:pt idx="35">
                  <c:v>2017m12</c:v>
                </c:pt>
                <c:pt idx="36">
                  <c:v>2018m1</c:v>
                </c:pt>
                <c:pt idx="37">
                  <c:v>2018m2</c:v>
                </c:pt>
                <c:pt idx="38">
                  <c:v>2018m3</c:v>
                </c:pt>
                <c:pt idx="39">
                  <c:v>2018m4</c:v>
                </c:pt>
                <c:pt idx="40">
                  <c:v>2018m5</c:v>
                </c:pt>
                <c:pt idx="41">
                  <c:v>2018m6</c:v>
                </c:pt>
                <c:pt idx="42">
                  <c:v>2018m7</c:v>
                </c:pt>
                <c:pt idx="43">
                  <c:v>2018m8</c:v>
                </c:pt>
                <c:pt idx="44">
                  <c:v>2018m9</c:v>
                </c:pt>
                <c:pt idx="45">
                  <c:v>2018m10</c:v>
                </c:pt>
                <c:pt idx="46">
                  <c:v>2018m11</c:v>
                </c:pt>
                <c:pt idx="47">
                  <c:v>2018m12</c:v>
                </c:pt>
                <c:pt idx="48">
                  <c:v>2019m1</c:v>
                </c:pt>
                <c:pt idx="49">
                  <c:v>2019m2</c:v>
                </c:pt>
                <c:pt idx="50">
                  <c:v>2019m3</c:v>
                </c:pt>
                <c:pt idx="51">
                  <c:v>2019m4</c:v>
                </c:pt>
                <c:pt idx="52">
                  <c:v>2019m5</c:v>
                </c:pt>
                <c:pt idx="53">
                  <c:v>2019m6</c:v>
                </c:pt>
                <c:pt idx="54">
                  <c:v>2019m7</c:v>
                </c:pt>
                <c:pt idx="55">
                  <c:v>2019m8</c:v>
                </c:pt>
                <c:pt idx="56">
                  <c:v>2019m9</c:v>
                </c:pt>
                <c:pt idx="57">
                  <c:v>2019m10</c:v>
                </c:pt>
                <c:pt idx="58">
                  <c:v>2019m11</c:v>
                </c:pt>
                <c:pt idx="59">
                  <c:v>2019m12</c:v>
                </c:pt>
                <c:pt idx="60">
                  <c:v>2020m1</c:v>
                </c:pt>
                <c:pt idx="61">
                  <c:v>2020m2</c:v>
                </c:pt>
                <c:pt idx="62">
                  <c:v>2020m3</c:v>
                </c:pt>
                <c:pt idx="63">
                  <c:v>2020m4</c:v>
                </c:pt>
                <c:pt idx="64">
                  <c:v>2020m5</c:v>
                </c:pt>
                <c:pt idx="65">
                  <c:v>2020m6</c:v>
                </c:pt>
                <c:pt idx="66">
                  <c:v>2020m7</c:v>
                </c:pt>
                <c:pt idx="67">
                  <c:v>2020m8</c:v>
                </c:pt>
                <c:pt idx="68">
                  <c:v>2020m9</c:v>
                </c:pt>
                <c:pt idx="69">
                  <c:v>2020m10</c:v>
                </c:pt>
                <c:pt idx="70">
                  <c:v>2020m11</c:v>
                </c:pt>
                <c:pt idx="71">
                  <c:v>2020m12</c:v>
                </c:pt>
                <c:pt idx="72">
                  <c:v>2021m1</c:v>
                </c:pt>
                <c:pt idx="73">
                  <c:v>2021m2</c:v>
                </c:pt>
                <c:pt idx="74">
                  <c:v>2021m3</c:v>
                </c:pt>
                <c:pt idx="75">
                  <c:v>2021m4</c:v>
                </c:pt>
                <c:pt idx="76">
                  <c:v>2021m5</c:v>
                </c:pt>
                <c:pt idx="77">
                  <c:v>2021m6</c:v>
                </c:pt>
                <c:pt idx="78">
                  <c:v>2021m7</c:v>
                </c:pt>
                <c:pt idx="79">
                  <c:v>2021m8</c:v>
                </c:pt>
                <c:pt idx="80">
                  <c:v>2021m9</c:v>
                </c:pt>
                <c:pt idx="81">
                  <c:v>2021m10</c:v>
                </c:pt>
                <c:pt idx="82">
                  <c:v>2021m11</c:v>
                </c:pt>
                <c:pt idx="83">
                  <c:v>2021m12</c:v>
                </c:pt>
                <c:pt idx="84">
                  <c:v>2022m1</c:v>
                </c:pt>
                <c:pt idx="85">
                  <c:v>2022m2</c:v>
                </c:pt>
                <c:pt idx="86">
                  <c:v>2022m3</c:v>
                </c:pt>
                <c:pt idx="87">
                  <c:v>2022m4</c:v>
                </c:pt>
                <c:pt idx="88">
                  <c:v>2022m5</c:v>
                </c:pt>
                <c:pt idx="89">
                  <c:v>2022m6</c:v>
                </c:pt>
                <c:pt idx="90">
                  <c:v>2022m7</c:v>
                </c:pt>
                <c:pt idx="91">
                  <c:v>2022m8</c:v>
                </c:pt>
                <c:pt idx="92">
                  <c:v>2022m9</c:v>
                </c:pt>
                <c:pt idx="93">
                  <c:v>2022m10</c:v>
                </c:pt>
                <c:pt idx="94">
                  <c:v>2022m11</c:v>
                </c:pt>
                <c:pt idx="95">
                  <c:v>2022m12</c:v>
                </c:pt>
                <c:pt idx="96">
                  <c:v>2023m1</c:v>
                </c:pt>
                <c:pt idx="97">
                  <c:v>2023m2</c:v>
                </c:pt>
                <c:pt idx="98">
                  <c:v>2023m3</c:v>
                </c:pt>
                <c:pt idx="99">
                  <c:v>2023m4</c:v>
                </c:pt>
                <c:pt idx="100">
                  <c:v>2023m5</c:v>
                </c:pt>
                <c:pt idx="101">
                  <c:v>2023m6</c:v>
                </c:pt>
                <c:pt idx="102">
                  <c:v>2023m7</c:v>
                </c:pt>
                <c:pt idx="103">
                  <c:v>2023m8</c:v>
                </c:pt>
                <c:pt idx="104">
                  <c:v>2023m9</c:v>
                </c:pt>
                <c:pt idx="105">
                  <c:v>2023m10</c:v>
                </c:pt>
                <c:pt idx="106">
                  <c:v>2023m11</c:v>
                </c:pt>
                <c:pt idx="107">
                  <c:v>2023m12</c:v>
                </c:pt>
              </c:strCache>
            </c:strRef>
          </c:cat>
          <c:val>
            <c:numRef>
              <c:f>'月报图2 年报图4'!$C$2:$C$109</c:f>
              <c:numCache>
                <c:formatCode>General</c:formatCode>
                <c:ptCount val="108"/>
                <c:pt idx="0">
                  <c:v>124.9221</c:v>
                </c:pt>
                <c:pt idx="1">
                  <c:v>125.93129999999999</c:v>
                </c:pt>
                <c:pt idx="2">
                  <c:v>128.61369999999999</c:v>
                </c:pt>
                <c:pt idx="3">
                  <c:v>128.30240000000001</c:v>
                </c:pt>
                <c:pt idx="4">
                  <c:v>126.78579999999999</c:v>
                </c:pt>
                <c:pt idx="5">
                  <c:v>127.6926</c:v>
                </c:pt>
                <c:pt idx="6">
                  <c:v>129.3501</c:v>
                </c:pt>
                <c:pt idx="7">
                  <c:v>127.6893</c:v>
                </c:pt>
                <c:pt idx="8">
                  <c:v>127.3683</c:v>
                </c:pt>
                <c:pt idx="9">
                  <c:v>126.8261</c:v>
                </c:pt>
                <c:pt idx="10">
                  <c:v>128.9957</c:v>
                </c:pt>
                <c:pt idx="11">
                  <c:v>127.28019999999999</c:v>
                </c:pt>
                <c:pt idx="12">
                  <c:v>126.03749999999999</c:v>
                </c:pt>
                <c:pt idx="13">
                  <c:v>125.0412</c:v>
                </c:pt>
                <c:pt idx="14">
                  <c:v>124.1011</c:v>
                </c:pt>
                <c:pt idx="15">
                  <c:v>122.5599</c:v>
                </c:pt>
                <c:pt idx="16">
                  <c:v>122.12520000000001</c:v>
                </c:pt>
                <c:pt idx="17">
                  <c:v>120.6379</c:v>
                </c:pt>
                <c:pt idx="18">
                  <c:v>119.50239999999999</c:v>
                </c:pt>
                <c:pt idx="19">
                  <c:v>118.77119999999999</c:v>
                </c:pt>
                <c:pt idx="20">
                  <c:v>118.4957</c:v>
                </c:pt>
                <c:pt idx="21">
                  <c:v>118.7223</c:v>
                </c:pt>
                <c:pt idx="22">
                  <c:v>118.9235</c:v>
                </c:pt>
                <c:pt idx="23">
                  <c:v>119.6122</c:v>
                </c:pt>
                <c:pt idx="24">
                  <c:v>119.35169999999999</c:v>
                </c:pt>
                <c:pt idx="25">
                  <c:v>118.57210000000001</c:v>
                </c:pt>
                <c:pt idx="26">
                  <c:v>118.0004</c:v>
                </c:pt>
                <c:pt idx="27">
                  <c:v>117.3682</c:v>
                </c:pt>
                <c:pt idx="28">
                  <c:v>116.61360000000001</c:v>
                </c:pt>
                <c:pt idx="29">
                  <c:v>117.1456</c:v>
                </c:pt>
                <c:pt idx="30">
                  <c:v>116.6902</c:v>
                </c:pt>
                <c:pt idx="31">
                  <c:v>117.0857</c:v>
                </c:pt>
                <c:pt idx="32">
                  <c:v>118.2283</c:v>
                </c:pt>
                <c:pt idx="33">
                  <c:v>118.5147</c:v>
                </c:pt>
                <c:pt idx="34">
                  <c:v>118.8383</c:v>
                </c:pt>
                <c:pt idx="35">
                  <c:v>118.8446</c:v>
                </c:pt>
                <c:pt idx="36">
                  <c:v>119.6439</c:v>
                </c:pt>
                <c:pt idx="37">
                  <c:v>121.0017</c:v>
                </c:pt>
                <c:pt idx="38">
                  <c:v>121.04340000000001</c:v>
                </c:pt>
                <c:pt idx="39">
                  <c:v>122.2552</c:v>
                </c:pt>
                <c:pt idx="40">
                  <c:v>123.6101</c:v>
                </c:pt>
                <c:pt idx="41">
                  <c:v>122.8411</c:v>
                </c:pt>
                <c:pt idx="42">
                  <c:v>118.8154</c:v>
                </c:pt>
                <c:pt idx="43">
                  <c:v>117.6058</c:v>
                </c:pt>
                <c:pt idx="44">
                  <c:v>117.68219999999999</c:v>
                </c:pt>
                <c:pt idx="45">
                  <c:v>117.08920000000001</c:v>
                </c:pt>
                <c:pt idx="46">
                  <c:v>117.095</c:v>
                </c:pt>
                <c:pt idx="47">
                  <c:v>118.02500000000001</c:v>
                </c:pt>
                <c:pt idx="48">
                  <c:v>118.84220000000001</c:v>
                </c:pt>
                <c:pt idx="49">
                  <c:v>120.01609999999999</c:v>
                </c:pt>
                <c:pt idx="50">
                  <c:v>120.8241</c:v>
                </c:pt>
                <c:pt idx="51">
                  <c:v>121.13809999999999</c:v>
                </c:pt>
                <c:pt idx="52">
                  <c:v>119.36579999999999</c:v>
                </c:pt>
                <c:pt idx="53">
                  <c:v>117.7452</c:v>
                </c:pt>
                <c:pt idx="54">
                  <c:v>118.182</c:v>
                </c:pt>
                <c:pt idx="55">
                  <c:v>116.0655</c:v>
                </c:pt>
                <c:pt idx="56">
                  <c:v>115.577</c:v>
                </c:pt>
                <c:pt idx="57">
                  <c:v>115.51739999999999</c:v>
                </c:pt>
                <c:pt idx="58">
                  <c:v>116.6713</c:v>
                </c:pt>
                <c:pt idx="59">
                  <c:v>116.33620000000001</c:v>
                </c:pt>
                <c:pt idx="60">
                  <c:v>117.8914</c:v>
                </c:pt>
                <c:pt idx="61">
                  <c:v>117.97629999999999</c:v>
                </c:pt>
                <c:pt idx="62">
                  <c:v>119.2157</c:v>
                </c:pt>
                <c:pt idx="63">
                  <c:v>119.5762</c:v>
                </c:pt>
                <c:pt idx="64">
                  <c:v>118.6571</c:v>
                </c:pt>
                <c:pt idx="65">
                  <c:v>116.6468</c:v>
                </c:pt>
                <c:pt idx="66">
                  <c:v>116.994</c:v>
                </c:pt>
                <c:pt idx="67">
                  <c:v>116.94970000000001</c:v>
                </c:pt>
                <c:pt idx="68">
                  <c:v>119.1223</c:v>
                </c:pt>
                <c:pt idx="69">
                  <c:v>120.70229999999999</c:v>
                </c:pt>
                <c:pt idx="70">
                  <c:v>121.9907</c:v>
                </c:pt>
                <c:pt idx="71">
                  <c:v>121.0604</c:v>
                </c:pt>
                <c:pt idx="72">
                  <c:v>122.1511</c:v>
                </c:pt>
                <c:pt idx="73">
                  <c:v>122.7047</c:v>
                </c:pt>
                <c:pt idx="74">
                  <c:v>123.2668</c:v>
                </c:pt>
                <c:pt idx="75">
                  <c:v>123.05249999999999</c:v>
                </c:pt>
                <c:pt idx="76">
                  <c:v>123.5675</c:v>
                </c:pt>
                <c:pt idx="77">
                  <c:v>124.102</c:v>
                </c:pt>
                <c:pt idx="78">
                  <c:v>124.60129999999999</c:v>
                </c:pt>
                <c:pt idx="79">
                  <c:v>124.86879999999999</c:v>
                </c:pt>
                <c:pt idx="80">
                  <c:v>125.3353</c:v>
                </c:pt>
                <c:pt idx="81">
                  <c:v>127.1973</c:v>
                </c:pt>
                <c:pt idx="82">
                  <c:v>129.01310000000001</c:v>
                </c:pt>
                <c:pt idx="83">
                  <c:v>130.54580000000001</c:v>
                </c:pt>
                <c:pt idx="84">
                  <c:v>130.75909999999999</c:v>
                </c:pt>
                <c:pt idx="85">
                  <c:v>131.03579999999999</c:v>
                </c:pt>
                <c:pt idx="86">
                  <c:v>134.26679999999999</c:v>
                </c:pt>
                <c:pt idx="87">
                  <c:v>133.08359999999999</c:v>
                </c:pt>
                <c:pt idx="88">
                  <c:v>129.23220000000001</c:v>
                </c:pt>
                <c:pt idx="89">
                  <c:v>129.70760000000001</c:v>
                </c:pt>
                <c:pt idx="90">
                  <c:v>131.75020000000001</c:v>
                </c:pt>
                <c:pt idx="91">
                  <c:v>130.4743</c:v>
                </c:pt>
                <c:pt idx="92">
                  <c:v>129.55500000000001</c:v>
                </c:pt>
                <c:pt idx="93">
                  <c:v>127.9426</c:v>
                </c:pt>
                <c:pt idx="94">
                  <c:v>125.3918</c:v>
                </c:pt>
                <c:pt idx="95">
                  <c:v>126.3964</c:v>
                </c:pt>
                <c:pt idx="96">
                  <c:v>128.1267</c:v>
                </c:pt>
                <c:pt idx="97">
                  <c:v>128.309</c:v>
                </c:pt>
                <c:pt idx="98">
                  <c:v>127.9782</c:v>
                </c:pt>
                <c:pt idx="99">
                  <c:v>127.0925</c:v>
                </c:pt>
                <c:pt idx="100">
                  <c:v>126.0029</c:v>
                </c:pt>
                <c:pt idx="101">
                  <c:v>123.4915</c:v>
                </c:pt>
                <c:pt idx="102">
                  <c:v>122.51220000000001</c:v>
                </c:pt>
                <c:pt idx="103">
                  <c:v>123.4195</c:v>
                </c:pt>
                <c:pt idx="104">
                  <c:v>124.1974</c:v>
                </c:pt>
                <c:pt idx="105">
                  <c:v>125.1142</c:v>
                </c:pt>
                <c:pt idx="106">
                  <c:v>124.703</c:v>
                </c:pt>
                <c:pt idx="107">
                  <c:v>124.7116</c:v>
                </c:pt>
              </c:numCache>
            </c:numRef>
          </c:val>
          <c:smooth val="0"/>
          <c:extLst>
            <c:ext xmlns:c16="http://schemas.microsoft.com/office/drawing/2014/chart" uri="{C3380CC4-5D6E-409C-BE32-E72D297353CC}">
              <c16:uniqueId val="{00000001-D229-475F-8216-34EB1CC84AB8}"/>
            </c:ext>
          </c:extLst>
        </c:ser>
        <c:dLbls>
          <c:showLegendKey val="0"/>
          <c:showVal val="0"/>
          <c:showCatName val="0"/>
          <c:showSerName val="0"/>
          <c:showPercent val="0"/>
          <c:showBubbleSize val="0"/>
        </c:dLbls>
        <c:smooth val="0"/>
        <c:axId val="129715200"/>
        <c:axId val="129721088"/>
      </c:lineChart>
      <c:catAx>
        <c:axId val="129715200"/>
        <c:scaling>
          <c:orientation val="minMax"/>
        </c:scaling>
        <c:delete val="0"/>
        <c:axPos val="b"/>
        <c:numFmt formatCode="General" sourceLinked="0"/>
        <c:majorTickMark val="out"/>
        <c:minorTickMark val="none"/>
        <c:tickLblPos val="nextTo"/>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721088"/>
        <c:crosses val="autoZero"/>
        <c:auto val="1"/>
        <c:lblAlgn val="ctr"/>
        <c:lblOffset val="100"/>
        <c:noMultiLvlLbl val="0"/>
      </c:catAx>
      <c:valAx>
        <c:axId val="129721088"/>
        <c:scaling>
          <c:orientation val="minMax"/>
        </c:scaling>
        <c:delete val="0"/>
        <c:axPos val="l"/>
        <c:majorGridlines/>
        <c:numFmt formatCode="General" sourceLinked="1"/>
        <c:majorTickMark val="out"/>
        <c:minorTickMark val="none"/>
        <c:tickLblPos val="nextTo"/>
        <c:spPr>
          <a:noFill/>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9715200"/>
        <c:crosses val="autoZero"/>
        <c:crossBetween val="between"/>
      </c:valAx>
    </c:plotArea>
    <c:legend>
      <c:legendPos val="t"/>
      <c:layout>
        <c:manualLayout>
          <c:xMode val="edge"/>
          <c:yMode val="edge"/>
          <c:x val="0.25921020948711782"/>
          <c:y val="0.62118902439024393"/>
          <c:w val="0.46713219359499158"/>
          <c:h val="0.1186413721912809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42A8717-A56D-4572-AE16-25CB93AE6C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5</Pages>
  <Words>374</Words>
  <Characters>2136</Characters>
  <Application>Microsoft Office Word</Application>
  <DocSecurity>0</DocSecurity>
  <Lines>17</Lines>
  <Paragraphs>5</Paragraphs>
  <ScaleCrop>false</ScaleCrop>
  <Company>微软中国</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IWEP-HEER数据月报</dc:title>
  <dc:creator>Panpan Yang</dc:creator>
  <cp:lastModifiedBy>晓峰 亢</cp:lastModifiedBy>
  <cp:revision>19</cp:revision>
  <dcterms:created xsi:type="dcterms:W3CDTF">2020-05-24T02:04:00Z</dcterms:created>
  <dcterms:modified xsi:type="dcterms:W3CDTF">2024-01-23T08:01:00Z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